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F8848" w14:textId="77777777" w:rsidR="005E4D76" w:rsidRPr="00DF4BA1" w:rsidRDefault="005E4D76" w:rsidP="005E4D76">
      <w:pPr>
        <w:pStyle w:val="Heading1"/>
        <w:spacing w:after="0" w:line="276" w:lineRule="auto"/>
        <w:rPr>
          <w:rFonts w:asciiTheme="minorHAnsi" w:hAnsiTheme="minorHAnsi"/>
        </w:rPr>
      </w:pPr>
      <w:bookmarkStart w:id="0" w:name="_Toc64621710"/>
      <w:r w:rsidRPr="00DF4BA1">
        <w:rPr>
          <w:rFonts w:asciiTheme="minorHAnsi" w:hAnsiTheme="minorHAnsi"/>
        </w:rPr>
        <w:t>O’BRIEN INSTITUTE FOR PUBLIC HEALTH</w:t>
      </w:r>
      <w:bookmarkEnd w:id="0"/>
      <w:r w:rsidRPr="00DF4BA1">
        <w:rPr>
          <w:rFonts w:asciiTheme="minorHAnsi" w:hAnsiTheme="minorHAnsi"/>
        </w:rPr>
        <w:t xml:space="preserve"> </w:t>
      </w:r>
    </w:p>
    <w:p w14:paraId="6CEBE867" w14:textId="77777777" w:rsidR="005E4D76" w:rsidRDefault="005E4D76" w:rsidP="005E4D76">
      <w:pPr>
        <w:spacing w:after="0" w:line="276" w:lineRule="auto"/>
        <w:ind w:left="-2" w:right="12"/>
        <w:rPr>
          <w:rFonts w:asciiTheme="minorHAnsi" w:hAnsiTheme="minorHAnsi" w:cstheme="minorHAnsi"/>
        </w:rPr>
      </w:pPr>
    </w:p>
    <w:p w14:paraId="313FA4BD" w14:textId="1CA83658" w:rsidR="005E4D76" w:rsidRPr="00DF4BA1" w:rsidRDefault="005E4D76" w:rsidP="005E4D76">
      <w:pPr>
        <w:spacing w:after="0" w:line="276" w:lineRule="auto"/>
        <w:ind w:left="-2" w:right="12"/>
        <w:rPr>
          <w:rFonts w:asciiTheme="minorHAnsi" w:hAnsiTheme="minorHAnsi" w:cstheme="minorHAnsi"/>
        </w:rPr>
      </w:pPr>
      <w:r w:rsidRPr="00DF4BA1">
        <w:rPr>
          <w:rFonts w:asciiTheme="minorHAnsi" w:hAnsiTheme="minorHAnsi" w:cstheme="minorHAnsi"/>
        </w:rPr>
        <w:t xml:space="preserve">Scientific Director: Dr. </w:t>
      </w:r>
      <w:r w:rsidR="00F57B40">
        <w:rPr>
          <w:rFonts w:asciiTheme="minorHAnsi" w:hAnsiTheme="minorHAnsi" w:cstheme="minorHAnsi"/>
        </w:rPr>
        <w:t>Kirsten Fiest</w:t>
      </w:r>
    </w:p>
    <w:p w14:paraId="2594F1C4" w14:textId="382EB952" w:rsidR="00F57B40" w:rsidRPr="00DF4BA1" w:rsidRDefault="00F57B40" w:rsidP="00F57B40">
      <w:pPr>
        <w:spacing w:after="0" w:line="276" w:lineRule="auto"/>
        <w:ind w:left="-2" w:right="12"/>
        <w:rPr>
          <w:rFonts w:asciiTheme="minorHAnsi" w:hAnsiTheme="minorHAnsi" w:cstheme="minorHAnsi"/>
        </w:rPr>
      </w:pPr>
      <w:r>
        <w:rPr>
          <w:rFonts w:asciiTheme="minorHAnsi" w:hAnsiTheme="minorHAnsi" w:cstheme="minorHAnsi"/>
        </w:rPr>
        <w:t>Deputy Scientific Director (Population Health)</w:t>
      </w:r>
      <w:r w:rsidRPr="00DF4BA1">
        <w:rPr>
          <w:rFonts w:asciiTheme="minorHAnsi" w:hAnsiTheme="minorHAnsi" w:cstheme="minorHAnsi"/>
        </w:rPr>
        <w:t xml:space="preserve">: Dr. </w:t>
      </w:r>
      <w:r>
        <w:rPr>
          <w:rFonts w:asciiTheme="minorHAnsi" w:hAnsiTheme="minorHAnsi" w:cstheme="minorHAnsi"/>
        </w:rPr>
        <w:t>Pamela Roach</w:t>
      </w:r>
    </w:p>
    <w:p w14:paraId="638E7D73" w14:textId="73884BBD" w:rsidR="00FA1DF4" w:rsidRDefault="005E4D76" w:rsidP="005E4D76">
      <w:pPr>
        <w:spacing w:after="0" w:line="276" w:lineRule="auto"/>
        <w:ind w:left="-2" w:right="12"/>
        <w:rPr>
          <w:rFonts w:asciiTheme="minorHAnsi" w:hAnsiTheme="minorHAnsi" w:cstheme="minorHAnsi"/>
        </w:rPr>
      </w:pPr>
      <w:r w:rsidRPr="00DF4BA1">
        <w:rPr>
          <w:rFonts w:asciiTheme="minorHAnsi" w:hAnsiTheme="minorHAnsi" w:cstheme="minorHAnsi"/>
        </w:rPr>
        <w:t>Associate Scientific Director</w:t>
      </w:r>
      <w:r w:rsidR="00FA1DF4">
        <w:rPr>
          <w:rFonts w:asciiTheme="minorHAnsi" w:hAnsiTheme="minorHAnsi" w:cstheme="minorHAnsi"/>
        </w:rPr>
        <w:t xml:space="preserve"> (Health Systems):  Dr</w:t>
      </w:r>
      <w:r w:rsidR="00F57B40">
        <w:rPr>
          <w:rFonts w:asciiTheme="minorHAnsi" w:hAnsiTheme="minorHAnsi" w:cstheme="minorHAnsi"/>
        </w:rPr>
        <w:t>. Paul Ronksley</w:t>
      </w:r>
    </w:p>
    <w:p w14:paraId="4ECE8067" w14:textId="5CCF2B90" w:rsidR="00F57B40" w:rsidRDefault="00F57B40" w:rsidP="005E4D76">
      <w:pPr>
        <w:spacing w:after="0" w:line="276" w:lineRule="auto"/>
        <w:ind w:left="-2" w:right="12"/>
        <w:rPr>
          <w:rFonts w:asciiTheme="minorHAnsi" w:hAnsiTheme="minorHAnsi" w:cstheme="minorHAnsi"/>
        </w:rPr>
      </w:pPr>
      <w:r>
        <w:rPr>
          <w:rFonts w:asciiTheme="minorHAnsi" w:hAnsiTheme="minorHAnsi" w:cstheme="minorHAnsi"/>
        </w:rPr>
        <w:t>Associate Scientific Director (Policy and Partnerships; Centre for Health Policy): Stephen Samis</w:t>
      </w:r>
    </w:p>
    <w:p w14:paraId="18BFBF24" w14:textId="77777777" w:rsidR="005E4D76" w:rsidRPr="00DF4BA1" w:rsidRDefault="005E4D76" w:rsidP="005E4D76">
      <w:pPr>
        <w:spacing w:after="0" w:line="276" w:lineRule="auto"/>
        <w:ind w:left="-2" w:right="12"/>
        <w:rPr>
          <w:rFonts w:asciiTheme="minorHAnsi" w:hAnsiTheme="minorHAnsi" w:cstheme="minorHAnsi"/>
        </w:rPr>
      </w:pPr>
      <w:r w:rsidRPr="00DF4BA1">
        <w:rPr>
          <w:rFonts w:asciiTheme="minorHAnsi" w:hAnsiTheme="minorHAnsi" w:cstheme="minorHAnsi"/>
        </w:rPr>
        <w:t xml:space="preserve">Administrative Director: Jamie Day, </w:t>
      </w:r>
      <w:r w:rsidRPr="00DF4BA1">
        <w:rPr>
          <w:rFonts w:asciiTheme="minorHAnsi" w:hAnsiTheme="minorHAnsi" w:cstheme="minorHAnsi"/>
          <w:color w:val="005DB9"/>
          <w:u w:val="single" w:color="005DB9"/>
        </w:rPr>
        <w:t>dayj@ucalgary.ca</w:t>
      </w:r>
      <w:r w:rsidRPr="00DF4BA1">
        <w:rPr>
          <w:rFonts w:asciiTheme="minorHAnsi" w:hAnsiTheme="minorHAnsi" w:cstheme="minorHAnsi"/>
        </w:rPr>
        <w:t xml:space="preserve">  </w:t>
      </w:r>
    </w:p>
    <w:p w14:paraId="0F1480A7" w14:textId="77777777" w:rsidR="005E4D76" w:rsidRPr="00DF4BA1" w:rsidRDefault="005E4D76" w:rsidP="005E4D76">
      <w:pPr>
        <w:spacing w:after="0" w:line="276" w:lineRule="auto"/>
        <w:ind w:left="-3"/>
        <w:rPr>
          <w:rFonts w:asciiTheme="minorHAnsi" w:hAnsiTheme="minorHAnsi" w:cstheme="minorHAnsi"/>
        </w:rPr>
      </w:pPr>
      <w:r w:rsidRPr="00DF4BA1">
        <w:rPr>
          <w:rFonts w:asciiTheme="minorHAnsi" w:hAnsiTheme="minorHAnsi" w:cstheme="minorHAnsi"/>
        </w:rPr>
        <w:t xml:space="preserve">Website: </w:t>
      </w:r>
      <w:hyperlink r:id="rId5">
        <w:r w:rsidRPr="00DF4BA1">
          <w:rPr>
            <w:rFonts w:asciiTheme="minorHAnsi" w:hAnsiTheme="minorHAnsi" w:cstheme="minorHAnsi"/>
            <w:color w:val="005DB9"/>
            <w:u w:val="single" w:color="005DB9"/>
          </w:rPr>
          <w:t>https://obrieniph.ucalgary.ca/</w:t>
        </w:r>
      </w:hyperlink>
      <w:hyperlink r:id="rId6">
        <w:r w:rsidRPr="00DF4BA1">
          <w:rPr>
            <w:rFonts w:asciiTheme="minorHAnsi" w:hAnsiTheme="minorHAnsi" w:cstheme="minorHAnsi"/>
          </w:rPr>
          <w:t xml:space="preserve"> </w:t>
        </w:r>
      </w:hyperlink>
      <w:r w:rsidRPr="00DF4BA1">
        <w:rPr>
          <w:rFonts w:asciiTheme="minorHAnsi" w:hAnsiTheme="minorHAnsi" w:cstheme="minorHAnsi"/>
        </w:rPr>
        <w:t xml:space="preserve"> </w:t>
      </w:r>
    </w:p>
    <w:p w14:paraId="20983F77" w14:textId="77777777" w:rsidR="005E4D76" w:rsidRPr="00DF4BA1" w:rsidRDefault="005E4D76" w:rsidP="005E4D76">
      <w:pPr>
        <w:spacing w:after="0" w:line="276" w:lineRule="auto"/>
        <w:ind w:left="-3"/>
        <w:rPr>
          <w:rFonts w:asciiTheme="minorHAnsi" w:hAnsiTheme="minorHAnsi" w:cstheme="minorHAnsi"/>
        </w:rPr>
      </w:pPr>
    </w:p>
    <w:p w14:paraId="2B4DB68C" w14:textId="77777777" w:rsidR="00105851" w:rsidRPr="00DF4BA1" w:rsidRDefault="00105851" w:rsidP="00105851">
      <w:pPr>
        <w:spacing w:after="0" w:line="276" w:lineRule="auto"/>
        <w:ind w:left="-2" w:right="12"/>
        <w:rPr>
          <w:rFonts w:asciiTheme="minorHAnsi" w:hAnsiTheme="minorHAnsi" w:cstheme="minorHAnsi"/>
        </w:rPr>
      </w:pPr>
      <w:r w:rsidRPr="00DF4BA1">
        <w:rPr>
          <w:rFonts w:asciiTheme="minorHAnsi" w:hAnsiTheme="minorHAnsi" w:cstheme="minorHAnsi"/>
        </w:rPr>
        <w:t>The O’Brien Institute</w:t>
      </w:r>
      <w:r>
        <w:rPr>
          <w:rFonts w:asciiTheme="minorHAnsi" w:hAnsiTheme="minorHAnsi" w:cstheme="minorHAnsi"/>
        </w:rPr>
        <w:t>’s mission is to advance public health through research excellence, and its four goals are</w:t>
      </w:r>
      <w:r w:rsidRPr="00DF4BA1">
        <w:rPr>
          <w:rFonts w:asciiTheme="minorHAnsi" w:hAnsiTheme="minorHAnsi" w:cstheme="minorHAnsi"/>
        </w:rPr>
        <w:t xml:space="preserve">: </w:t>
      </w:r>
    </w:p>
    <w:p w14:paraId="5F60EEF3" w14:textId="77777777" w:rsidR="00105851" w:rsidRPr="00DF4BA1" w:rsidRDefault="00105851" w:rsidP="00105851">
      <w:pPr>
        <w:numPr>
          <w:ilvl w:val="0"/>
          <w:numId w:val="1"/>
        </w:numPr>
        <w:spacing w:after="0" w:line="276" w:lineRule="auto"/>
        <w:ind w:hanging="360"/>
        <w:rPr>
          <w:rFonts w:asciiTheme="minorHAnsi" w:hAnsiTheme="minorHAnsi" w:cstheme="minorHAnsi"/>
        </w:rPr>
      </w:pPr>
      <w:r>
        <w:rPr>
          <w:rFonts w:asciiTheme="minorHAnsi" w:hAnsiTheme="minorHAnsi" w:cstheme="minorHAnsi"/>
        </w:rPr>
        <w:t>Better Health Care</w:t>
      </w:r>
      <w:r w:rsidRPr="00DF4BA1">
        <w:rPr>
          <w:rFonts w:asciiTheme="minorHAnsi" w:hAnsiTheme="minorHAnsi" w:cstheme="minorHAnsi"/>
        </w:rPr>
        <w:t xml:space="preserve"> (similar to CIHR Pillar 3</w:t>
      </w:r>
      <w:r>
        <w:rPr>
          <w:rFonts w:asciiTheme="minorHAnsi" w:hAnsiTheme="minorHAnsi" w:cstheme="minorHAnsi"/>
        </w:rPr>
        <w:t>, with focus areas of learning health systems and digital health</w:t>
      </w:r>
      <w:r w:rsidRPr="00DF4BA1">
        <w:rPr>
          <w:rFonts w:asciiTheme="minorHAnsi" w:hAnsiTheme="minorHAnsi" w:cstheme="minorHAnsi"/>
        </w:rPr>
        <w:t>)</w:t>
      </w:r>
      <w:r w:rsidRPr="00DF4BA1">
        <w:rPr>
          <w:rFonts w:asciiTheme="minorHAnsi" w:hAnsiTheme="minorHAnsi" w:cstheme="minorHAnsi"/>
          <w:color w:val="2F2F2F"/>
        </w:rPr>
        <w:t xml:space="preserve"> </w:t>
      </w:r>
    </w:p>
    <w:p w14:paraId="24BBD52B" w14:textId="77777777" w:rsidR="00105851" w:rsidRPr="00DF4BA1" w:rsidRDefault="00105851" w:rsidP="00105851">
      <w:pPr>
        <w:numPr>
          <w:ilvl w:val="0"/>
          <w:numId w:val="1"/>
        </w:numPr>
        <w:spacing w:after="0" w:line="276" w:lineRule="auto"/>
        <w:ind w:hanging="360"/>
        <w:rPr>
          <w:rFonts w:asciiTheme="minorHAnsi" w:hAnsiTheme="minorHAnsi" w:cstheme="minorHAnsi"/>
        </w:rPr>
      </w:pPr>
      <w:r>
        <w:rPr>
          <w:rFonts w:asciiTheme="minorHAnsi" w:hAnsiTheme="minorHAnsi" w:cstheme="minorHAnsi"/>
        </w:rPr>
        <w:t>Healthier</w:t>
      </w:r>
      <w:r w:rsidRPr="00DF4BA1">
        <w:rPr>
          <w:rFonts w:asciiTheme="minorHAnsi" w:hAnsiTheme="minorHAnsi" w:cstheme="minorHAnsi"/>
        </w:rPr>
        <w:t xml:space="preserve"> Population</w:t>
      </w:r>
      <w:r>
        <w:rPr>
          <w:rFonts w:asciiTheme="minorHAnsi" w:hAnsiTheme="minorHAnsi" w:cstheme="minorHAnsi"/>
        </w:rPr>
        <w:t>s</w:t>
      </w:r>
      <w:r w:rsidRPr="00DF4BA1">
        <w:rPr>
          <w:rFonts w:asciiTheme="minorHAnsi" w:hAnsiTheme="minorHAnsi" w:cstheme="minorHAnsi"/>
        </w:rPr>
        <w:t xml:space="preserve"> (similar to CIHR Pillar 4</w:t>
      </w:r>
      <w:r>
        <w:rPr>
          <w:rFonts w:asciiTheme="minorHAnsi" w:hAnsiTheme="minorHAnsi" w:cstheme="minorHAnsi"/>
        </w:rPr>
        <w:t>, with focus areas of equity and prevention</w:t>
      </w:r>
      <w:r w:rsidRPr="00DF4BA1">
        <w:rPr>
          <w:rFonts w:asciiTheme="minorHAnsi" w:hAnsiTheme="minorHAnsi" w:cstheme="minorHAnsi"/>
        </w:rPr>
        <w:t>)</w:t>
      </w:r>
      <w:r w:rsidRPr="00DF4BA1">
        <w:rPr>
          <w:rFonts w:asciiTheme="minorHAnsi" w:hAnsiTheme="minorHAnsi" w:cstheme="minorHAnsi"/>
          <w:color w:val="2F2F2F"/>
        </w:rPr>
        <w:t xml:space="preserve"> </w:t>
      </w:r>
    </w:p>
    <w:p w14:paraId="54ED93E2" w14:textId="77777777" w:rsidR="00105851" w:rsidRDefault="00105851" w:rsidP="00105851">
      <w:pPr>
        <w:numPr>
          <w:ilvl w:val="0"/>
          <w:numId w:val="1"/>
        </w:numPr>
        <w:spacing w:after="0" w:line="276" w:lineRule="auto"/>
        <w:ind w:hanging="360"/>
        <w:rPr>
          <w:rFonts w:asciiTheme="minorHAnsi" w:hAnsiTheme="minorHAnsi" w:cstheme="minorHAnsi"/>
        </w:rPr>
      </w:pPr>
      <w:r>
        <w:rPr>
          <w:rFonts w:asciiTheme="minorHAnsi" w:hAnsiTheme="minorHAnsi" w:cstheme="minorHAnsi"/>
        </w:rPr>
        <w:t>Thought Leadership (with focus areas of knowledge exchange, innovation, and evidence-informed policy)</w:t>
      </w:r>
    </w:p>
    <w:p w14:paraId="394F26F5" w14:textId="77777777" w:rsidR="00105851" w:rsidRPr="00DF4BA1" w:rsidRDefault="00105851" w:rsidP="00105851">
      <w:pPr>
        <w:numPr>
          <w:ilvl w:val="0"/>
          <w:numId w:val="1"/>
        </w:numPr>
        <w:spacing w:after="0" w:line="276" w:lineRule="auto"/>
        <w:ind w:hanging="360"/>
        <w:rPr>
          <w:rFonts w:asciiTheme="minorHAnsi" w:hAnsiTheme="minorHAnsi" w:cstheme="minorHAnsi"/>
        </w:rPr>
      </w:pPr>
      <w:r>
        <w:rPr>
          <w:rFonts w:asciiTheme="minorHAnsi" w:hAnsiTheme="minorHAnsi" w:cstheme="minorHAnsi"/>
        </w:rPr>
        <w:t>Operational Excellence (with focus areas of increasing capacity for research excellence and public health impact, enhancing the value of membership, and strategic investment)</w:t>
      </w:r>
    </w:p>
    <w:p w14:paraId="0069E32A" w14:textId="037E97D3" w:rsidR="005E4D76" w:rsidRPr="00DF4BA1" w:rsidRDefault="00105851" w:rsidP="005E4D76">
      <w:pPr>
        <w:spacing w:after="0" w:line="276" w:lineRule="auto"/>
        <w:ind w:left="2" w:firstLine="0"/>
        <w:rPr>
          <w:rFonts w:asciiTheme="minorHAnsi" w:hAnsiTheme="minorHAnsi" w:cstheme="minorHAnsi"/>
        </w:rPr>
      </w:pPr>
      <w:r w:rsidRPr="00DF4BA1">
        <w:rPr>
          <w:rFonts w:asciiTheme="minorHAnsi" w:hAnsiTheme="minorHAnsi" w:cstheme="minorHAnsi"/>
        </w:rPr>
        <w:t xml:space="preserve"> </w:t>
      </w:r>
    </w:p>
    <w:p w14:paraId="78AF7EDC" w14:textId="37EB4785" w:rsidR="00105851" w:rsidRPr="00DF4BA1" w:rsidRDefault="00105851" w:rsidP="00105851">
      <w:pPr>
        <w:spacing w:after="0" w:line="276" w:lineRule="auto"/>
        <w:ind w:left="-2" w:right="12"/>
        <w:rPr>
          <w:rFonts w:asciiTheme="minorHAnsi" w:hAnsiTheme="minorHAnsi" w:cstheme="minorHAnsi"/>
        </w:rPr>
      </w:pPr>
      <w:r w:rsidRPr="00DF4BA1">
        <w:rPr>
          <w:rFonts w:asciiTheme="minorHAnsi" w:hAnsiTheme="minorHAnsi" w:cstheme="minorHAnsi"/>
        </w:rPr>
        <w:t xml:space="preserve">The Institute’s governance structure includes </w:t>
      </w:r>
      <w:r>
        <w:rPr>
          <w:rFonts w:asciiTheme="minorHAnsi" w:hAnsiTheme="minorHAnsi" w:cstheme="minorHAnsi"/>
        </w:rPr>
        <w:t xml:space="preserve">the </w:t>
      </w:r>
      <w:r w:rsidRPr="00DF4BA1">
        <w:rPr>
          <w:rFonts w:asciiTheme="minorHAnsi" w:hAnsiTheme="minorHAnsi" w:cstheme="minorHAnsi"/>
        </w:rPr>
        <w:t xml:space="preserve">leadership team </w:t>
      </w:r>
      <w:r>
        <w:rPr>
          <w:rFonts w:asciiTheme="minorHAnsi" w:hAnsiTheme="minorHAnsi" w:cstheme="minorHAnsi"/>
        </w:rPr>
        <w:t>listed above</w:t>
      </w:r>
      <w:r w:rsidRPr="00DF4BA1">
        <w:rPr>
          <w:rFonts w:asciiTheme="minorHAnsi" w:hAnsiTheme="minorHAnsi" w:cstheme="minorHAnsi"/>
        </w:rPr>
        <w:t>;</w:t>
      </w:r>
      <w:r>
        <w:rPr>
          <w:rFonts w:asciiTheme="minorHAnsi" w:hAnsiTheme="minorHAnsi" w:cstheme="minorHAnsi"/>
        </w:rPr>
        <w:t xml:space="preserve"> a team dedicated to</w:t>
      </w:r>
      <w:r w:rsidRPr="00DF4BA1">
        <w:rPr>
          <w:rFonts w:asciiTheme="minorHAnsi" w:hAnsiTheme="minorHAnsi" w:cstheme="minorHAnsi"/>
        </w:rPr>
        <w:t xml:space="preserve"> communications, events, and administrative support; </w:t>
      </w:r>
      <w:r w:rsidR="00BE7242">
        <w:rPr>
          <w:rFonts w:asciiTheme="minorHAnsi" w:hAnsiTheme="minorHAnsi" w:cstheme="minorHAnsi"/>
        </w:rPr>
        <w:t>an Executive</w:t>
      </w:r>
      <w:r>
        <w:rPr>
          <w:rFonts w:asciiTheme="minorHAnsi" w:hAnsiTheme="minorHAnsi" w:cstheme="minorHAnsi"/>
        </w:rPr>
        <w:t xml:space="preserve"> </w:t>
      </w:r>
      <w:r w:rsidRPr="00DF4BA1">
        <w:rPr>
          <w:rFonts w:asciiTheme="minorHAnsi" w:hAnsiTheme="minorHAnsi" w:cstheme="minorHAnsi"/>
        </w:rPr>
        <w:t>Committee; a Strategic Advisory Board; and an International Scientific Advisory Group.</w:t>
      </w:r>
      <w:r w:rsidR="00BE7242">
        <w:rPr>
          <w:rFonts w:asciiTheme="minorHAnsi" w:hAnsiTheme="minorHAnsi" w:cstheme="minorHAnsi"/>
        </w:rPr>
        <w:t xml:space="preserve"> </w:t>
      </w:r>
      <w:r w:rsidRPr="00DF4BA1">
        <w:rPr>
          <w:rFonts w:asciiTheme="minorHAnsi" w:hAnsiTheme="minorHAnsi" w:cstheme="minorHAnsi"/>
        </w:rPr>
        <w:t xml:space="preserve"> The O’Brien Institute’s </w:t>
      </w:r>
      <w:r>
        <w:rPr>
          <w:rFonts w:asciiTheme="minorHAnsi" w:hAnsiTheme="minorHAnsi" w:cstheme="minorHAnsi"/>
        </w:rPr>
        <w:t xml:space="preserve">operating </w:t>
      </w:r>
      <w:r w:rsidRPr="00DF4BA1">
        <w:rPr>
          <w:rFonts w:asciiTheme="minorHAnsi" w:hAnsiTheme="minorHAnsi" w:cstheme="minorHAnsi"/>
        </w:rPr>
        <w:t xml:space="preserve">budget covers its operational staff and activities; </w:t>
      </w:r>
      <w:r>
        <w:rPr>
          <w:rFonts w:asciiTheme="minorHAnsi" w:hAnsiTheme="minorHAnsi" w:cstheme="minorHAnsi"/>
        </w:rPr>
        <w:t>shared</w:t>
      </w:r>
      <w:r w:rsidRPr="00DF4BA1">
        <w:rPr>
          <w:rFonts w:asciiTheme="minorHAnsi" w:hAnsiTheme="minorHAnsi" w:cstheme="minorHAnsi"/>
        </w:rPr>
        <w:t xml:space="preserve"> research infrastructure; and small awards deemed catalytic to research excellence and societal impact. “</w:t>
      </w:r>
      <w:r w:rsidRPr="001C2372">
        <w:rPr>
          <w:rFonts w:asciiTheme="minorHAnsi" w:hAnsiTheme="minorHAnsi" w:cstheme="minorHAnsi"/>
        </w:rPr>
        <w:t>Catalyst</w:t>
      </w:r>
      <w:r>
        <w:rPr>
          <w:rFonts w:asciiTheme="minorHAnsi" w:hAnsiTheme="minorHAnsi" w:cstheme="minorHAnsi"/>
        </w:rPr>
        <w:t>”</w:t>
      </w:r>
      <w:r w:rsidRPr="001C2372">
        <w:rPr>
          <w:rFonts w:asciiTheme="minorHAnsi" w:hAnsiTheme="minorHAnsi" w:cstheme="minorHAnsi"/>
        </w:rPr>
        <w:t xml:space="preserve"> funds are awarded to Institute members proposing early phases of well-conceived research </w:t>
      </w:r>
      <w:r>
        <w:rPr>
          <w:rFonts w:asciiTheme="minorHAnsi" w:hAnsiTheme="minorHAnsi" w:cstheme="minorHAnsi"/>
        </w:rPr>
        <w:t xml:space="preserve">projects, post-doctoral </w:t>
      </w:r>
      <w:r w:rsidR="00BE7242">
        <w:rPr>
          <w:rFonts w:asciiTheme="minorHAnsi" w:hAnsiTheme="minorHAnsi" w:cstheme="minorHAnsi"/>
        </w:rPr>
        <w:t>matching award contribute</w:t>
      </w:r>
      <w:r>
        <w:rPr>
          <w:rFonts w:asciiTheme="minorHAnsi" w:hAnsiTheme="minorHAnsi" w:cstheme="minorHAnsi"/>
        </w:rPr>
        <w:t xml:space="preserve"> to </w:t>
      </w:r>
      <w:r w:rsidR="00BE7242">
        <w:rPr>
          <w:rFonts w:asciiTheme="minorHAnsi" w:hAnsiTheme="minorHAnsi" w:cstheme="minorHAnsi"/>
        </w:rPr>
        <w:t>the salary of</w:t>
      </w:r>
      <w:r>
        <w:rPr>
          <w:rFonts w:asciiTheme="minorHAnsi" w:hAnsiTheme="minorHAnsi" w:cstheme="minorHAnsi"/>
        </w:rPr>
        <w:t xml:space="preserve"> members’ fellows, and start-up awards are made to support strategic</w:t>
      </w:r>
      <w:r w:rsidR="00BE7242">
        <w:rPr>
          <w:rFonts w:asciiTheme="minorHAnsi" w:hAnsiTheme="minorHAnsi" w:cstheme="minorHAnsi"/>
        </w:rPr>
        <w:t xml:space="preserve"> recruitments</w:t>
      </w:r>
      <w:r>
        <w:rPr>
          <w:rFonts w:asciiTheme="minorHAnsi" w:hAnsiTheme="minorHAnsi" w:cstheme="minorHAnsi"/>
        </w:rPr>
        <w:t xml:space="preserve">.  </w:t>
      </w:r>
      <w:r w:rsidRPr="00DF4BA1">
        <w:rPr>
          <w:rFonts w:asciiTheme="minorHAnsi" w:hAnsiTheme="minorHAnsi" w:cstheme="minorHAnsi"/>
        </w:rPr>
        <w:t xml:space="preserve">Additional fund development is under way to extend the Institute’s current annual budget. </w:t>
      </w:r>
    </w:p>
    <w:p w14:paraId="04E32221" w14:textId="77777777" w:rsidR="00105851" w:rsidRDefault="00105851" w:rsidP="005E4D76">
      <w:pPr>
        <w:spacing w:after="0" w:line="276" w:lineRule="auto"/>
        <w:ind w:left="-2" w:right="12"/>
        <w:rPr>
          <w:rFonts w:asciiTheme="minorHAnsi" w:hAnsiTheme="minorHAnsi" w:cstheme="minorHAnsi"/>
        </w:rPr>
      </w:pPr>
    </w:p>
    <w:p w14:paraId="73F9D08A" w14:textId="2BA40023" w:rsidR="00105851" w:rsidRPr="00DF4BA1" w:rsidRDefault="00105851" w:rsidP="00105851">
      <w:pPr>
        <w:spacing w:after="0" w:line="276" w:lineRule="auto"/>
        <w:ind w:left="-2" w:right="12"/>
        <w:rPr>
          <w:rFonts w:asciiTheme="minorHAnsi" w:hAnsiTheme="minorHAnsi" w:cstheme="minorHAnsi"/>
        </w:rPr>
      </w:pPr>
      <w:r w:rsidRPr="00DF4BA1">
        <w:rPr>
          <w:rFonts w:asciiTheme="minorHAnsi" w:hAnsiTheme="minorHAnsi" w:cstheme="minorHAnsi"/>
        </w:rPr>
        <w:t xml:space="preserve">The Institute’s membership </w:t>
      </w:r>
      <w:r w:rsidR="007F3317">
        <w:rPr>
          <w:rFonts w:asciiTheme="minorHAnsi" w:hAnsiTheme="minorHAnsi" w:cstheme="minorHAnsi"/>
        </w:rPr>
        <w:t>includes</w:t>
      </w:r>
      <w:r w:rsidRPr="00DF4BA1">
        <w:rPr>
          <w:rFonts w:asciiTheme="minorHAnsi" w:hAnsiTheme="minorHAnsi" w:cstheme="minorHAnsi"/>
        </w:rPr>
        <w:t xml:space="preserve"> more than 500 population health and health services researchers and research users -- approximately 5</w:t>
      </w:r>
      <w:r>
        <w:rPr>
          <w:rFonts w:asciiTheme="minorHAnsi" w:hAnsiTheme="minorHAnsi" w:cstheme="minorHAnsi"/>
        </w:rPr>
        <w:t>0</w:t>
      </w:r>
      <w:r w:rsidRPr="00DF4BA1">
        <w:rPr>
          <w:rFonts w:asciiTheme="minorHAnsi" w:hAnsiTheme="minorHAnsi" w:cstheme="minorHAnsi"/>
        </w:rPr>
        <w:t xml:space="preserve">% with faculty appointments within the Cumming School of Medicine; </w:t>
      </w:r>
      <w:r w:rsidR="007F3317">
        <w:rPr>
          <w:rFonts w:asciiTheme="minorHAnsi" w:hAnsiTheme="minorHAnsi" w:cstheme="minorHAnsi"/>
        </w:rPr>
        <w:t>20</w:t>
      </w:r>
      <w:r w:rsidRPr="00DF4BA1">
        <w:rPr>
          <w:rFonts w:asciiTheme="minorHAnsi" w:hAnsiTheme="minorHAnsi" w:cstheme="minorHAnsi"/>
        </w:rPr>
        <w:t>% in 11 other University of Calgary Faculties; 2</w:t>
      </w:r>
      <w:r w:rsidR="007F3317">
        <w:rPr>
          <w:rFonts w:asciiTheme="minorHAnsi" w:hAnsiTheme="minorHAnsi" w:cstheme="minorHAnsi"/>
        </w:rPr>
        <w:t>1</w:t>
      </w:r>
      <w:r w:rsidRPr="00DF4BA1">
        <w:rPr>
          <w:rFonts w:asciiTheme="minorHAnsi" w:hAnsiTheme="minorHAnsi" w:cstheme="minorHAnsi"/>
        </w:rPr>
        <w:t xml:space="preserve">% Alberta Health Services employees; the remainder being stakeholders from municipal and provincial government agencies, community service organizations, and other educational institutions. </w:t>
      </w:r>
      <w:r w:rsidR="00BA18C7">
        <w:rPr>
          <w:rFonts w:asciiTheme="minorHAnsi" w:hAnsiTheme="minorHAnsi" w:cstheme="minorHAnsi"/>
        </w:rPr>
        <w:t>Over 20</w:t>
      </w:r>
      <w:r w:rsidRPr="00DF4BA1">
        <w:rPr>
          <w:rFonts w:asciiTheme="minorHAnsi" w:hAnsiTheme="minorHAnsi" w:cstheme="minorHAnsi"/>
        </w:rPr>
        <w:t>% of O’Brien members are dual members in one of the 6 other CSM Institutes.</w:t>
      </w:r>
    </w:p>
    <w:p w14:paraId="68F276C8" w14:textId="77777777" w:rsidR="00105851" w:rsidRDefault="00105851" w:rsidP="005E4D76">
      <w:pPr>
        <w:spacing w:after="0" w:line="276" w:lineRule="auto"/>
        <w:ind w:left="-2" w:right="12"/>
        <w:rPr>
          <w:rFonts w:asciiTheme="minorHAnsi" w:hAnsiTheme="minorHAnsi" w:cstheme="minorHAnsi"/>
        </w:rPr>
      </w:pPr>
    </w:p>
    <w:p w14:paraId="793C84B7" w14:textId="6A61353A" w:rsidR="005E4D76" w:rsidRPr="00DF4BA1" w:rsidRDefault="00A529B9" w:rsidP="005E4D76">
      <w:pPr>
        <w:spacing w:after="0" w:line="276" w:lineRule="auto"/>
        <w:ind w:left="-2" w:right="12"/>
        <w:rPr>
          <w:rFonts w:asciiTheme="minorHAnsi" w:hAnsiTheme="minorHAnsi" w:cstheme="minorHAnsi"/>
        </w:rPr>
      </w:pPr>
      <w:r>
        <w:t>More than 500 trainees and highly qualified personnel are considered ‘affiliates’ and benefit from participating in events and the support programs listed below</w:t>
      </w:r>
      <w:r w:rsidR="005E4D76" w:rsidRPr="00DF4BA1">
        <w:rPr>
          <w:rFonts w:asciiTheme="minorHAnsi" w:hAnsiTheme="minorHAnsi" w:cstheme="minorHAnsi"/>
        </w:rPr>
        <w:t xml:space="preserve">. The O’Brien Institute does not have an education program </w:t>
      </w:r>
      <w:r w:rsidR="005E4D76" w:rsidRPr="00A529B9">
        <w:rPr>
          <w:rFonts w:asciiTheme="minorHAnsi" w:hAnsiTheme="minorHAnsi" w:cstheme="minorHAnsi"/>
          <w:i/>
          <w:iCs/>
        </w:rPr>
        <w:t>per se</w:t>
      </w:r>
      <w:r w:rsidR="005E4D76" w:rsidRPr="00DF4BA1">
        <w:rPr>
          <w:rFonts w:asciiTheme="minorHAnsi" w:hAnsiTheme="minorHAnsi" w:cstheme="minorHAnsi"/>
        </w:rPr>
        <w:t xml:space="preserve">, but works closely with the Department of Community Health Sciences to optimize the research environment for graduate students; medical residents; and the Department’s undergraduate students in Medical Education, Bachelor of Health Sciences, and Community Rehabilitation and Disability Studies. </w:t>
      </w:r>
      <w:r w:rsidR="007F3317">
        <w:rPr>
          <w:rFonts w:asciiTheme="minorHAnsi" w:hAnsiTheme="minorHAnsi" w:cstheme="minorHAnsi"/>
        </w:rPr>
        <w:t xml:space="preserve"> The O’Brien Postdoctoral Scholar Association</w:t>
      </w:r>
      <w:r w:rsidR="004C068E">
        <w:rPr>
          <w:rFonts w:asciiTheme="minorHAnsi" w:hAnsiTheme="minorHAnsi" w:cstheme="minorHAnsi"/>
        </w:rPr>
        <w:t xml:space="preserve"> offers networking and career development opportunities for fellows supervised by O’Brien mem</w:t>
      </w:r>
      <w:r w:rsidR="007B38A2">
        <w:rPr>
          <w:rFonts w:asciiTheme="minorHAnsi" w:hAnsiTheme="minorHAnsi" w:cstheme="minorHAnsi"/>
        </w:rPr>
        <w:t>b</w:t>
      </w:r>
      <w:r w:rsidR="004C068E">
        <w:rPr>
          <w:rFonts w:asciiTheme="minorHAnsi" w:hAnsiTheme="minorHAnsi" w:cstheme="minorHAnsi"/>
        </w:rPr>
        <w:t>ers.</w:t>
      </w:r>
    </w:p>
    <w:p w14:paraId="21BC651B" w14:textId="2E43E6F6" w:rsidR="005E4D76" w:rsidRPr="00DF4BA1" w:rsidRDefault="005E4D76" w:rsidP="005E4D76">
      <w:pPr>
        <w:spacing w:after="0" w:line="276" w:lineRule="auto"/>
        <w:ind w:left="2" w:firstLine="0"/>
        <w:rPr>
          <w:rFonts w:asciiTheme="minorHAnsi" w:hAnsiTheme="minorHAnsi" w:cstheme="minorHAnsi"/>
        </w:rPr>
      </w:pPr>
    </w:p>
    <w:p w14:paraId="4E18E1CA" w14:textId="45A4B344" w:rsidR="005E4D76" w:rsidRDefault="00105851" w:rsidP="00105851">
      <w:pPr>
        <w:spacing w:after="0" w:line="276" w:lineRule="auto"/>
        <w:ind w:left="2" w:firstLine="0"/>
        <w:rPr>
          <w:rFonts w:asciiTheme="minorHAnsi" w:hAnsiTheme="minorHAnsi" w:cstheme="minorHAnsi"/>
        </w:rPr>
      </w:pPr>
      <w:r>
        <w:rPr>
          <w:rFonts w:asciiTheme="minorHAnsi" w:hAnsiTheme="minorHAnsi" w:cstheme="minorHAnsi"/>
        </w:rPr>
        <w:lastRenderedPageBreak/>
        <w:t xml:space="preserve">Additional structures within (and beyond) the membership contribute to the Institute’s ecosystem, as illustrated below.  </w:t>
      </w:r>
      <w:r w:rsidR="008B26D3">
        <w:rPr>
          <w:rFonts w:asciiTheme="minorHAnsi" w:hAnsiTheme="minorHAnsi" w:cstheme="minorHAnsi"/>
        </w:rPr>
        <w:t>Groups within the Institute’s relationship framework</w:t>
      </w:r>
      <w:hyperlink r:id="rId7">
        <w:r w:rsidR="005E4D76" w:rsidRPr="00DF4BA1">
          <w:rPr>
            <w:rFonts w:asciiTheme="minorHAnsi" w:hAnsiTheme="minorHAnsi" w:cstheme="minorHAnsi"/>
          </w:rPr>
          <w:t xml:space="preserve"> </w:t>
        </w:r>
      </w:hyperlink>
      <w:r w:rsidR="008B26D3">
        <w:rPr>
          <w:rFonts w:asciiTheme="minorHAnsi" w:hAnsiTheme="minorHAnsi" w:cstheme="minorHAnsi"/>
        </w:rPr>
        <w:t>advance a</w:t>
      </w:r>
      <w:r w:rsidR="005E4D76" w:rsidRPr="00DF4BA1">
        <w:rPr>
          <w:rFonts w:asciiTheme="minorHAnsi" w:hAnsiTheme="minorHAnsi" w:cstheme="minorHAnsi"/>
        </w:rPr>
        <w:t xml:space="preserve"> broad range of </w:t>
      </w:r>
      <w:r w:rsidR="008B26D3">
        <w:rPr>
          <w:rFonts w:asciiTheme="minorHAnsi" w:hAnsiTheme="minorHAnsi" w:cstheme="minorHAnsi"/>
        </w:rPr>
        <w:t>topics</w:t>
      </w:r>
      <w:r w:rsidR="005E4D76" w:rsidRPr="00DF4BA1">
        <w:rPr>
          <w:rFonts w:asciiTheme="minorHAnsi" w:hAnsiTheme="minorHAnsi" w:cstheme="minorHAnsi"/>
        </w:rPr>
        <w:t xml:space="preserve"> relevant to public health</w:t>
      </w:r>
      <w:r>
        <w:rPr>
          <w:rFonts w:asciiTheme="minorHAnsi" w:hAnsiTheme="minorHAnsi" w:cstheme="minorHAnsi"/>
        </w:rPr>
        <w:t xml:space="preserve">, and portfolios led by members of the </w:t>
      </w:r>
      <w:r w:rsidR="007B38A2">
        <w:rPr>
          <w:rFonts w:asciiTheme="minorHAnsi" w:hAnsiTheme="minorHAnsi" w:cstheme="minorHAnsi"/>
        </w:rPr>
        <w:t>Executive</w:t>
      </w:r>
      <w:r>
        <w:rPr>
          <w:rFonts w:asciiTheme="minorHAnsi" w:hAnsiTheme="minorHAnsi" w:cstheme="minorHAnsi"/>
        </w:rPr>
        <w:t xml:space="preserve"> Committee support topic-independent member activities.</w:t>
      </w:r>
    </w:p>
    <w:p w14:paraId="4204AF5E" w14:textId="4E801D95" w:rsidR="001C2372" w:rsidRDefault="001C2372" w:rsidP="005E4D76">
      <w:pPr>
        <w:spacing w:after="0" w:line="276" w:lineRule="auto"/>
        <w:ind w:left="-2" w:right="12"/>
        <w:rPr>
          <w:rFonts w:asciiTheme="minorHAnsi" w:hAnsiTheme="minorHAnsi" w:cstheme="minorHAnsi"/>
        </w:rPr>
      </w:pPr>
    </w:p>
    <w:tbl>
      <w:tblPr>
        <w:tblW w:w="10480" w:type="dxa"/>
        <w:tblInd w:w="-100" w:type="dxa"/>
        <w:tblCellMar>
          <w:left w:w="0" w:type="dxa"/>
          <w:right w:w="0" w:type="dxa"/>
        </w:tblCellMar>
        <w:tblLook w:val="04A0" w:firstRow="1" w:lastRow="0" w:firstColumn="1" w:lastColumn="0" w:noHBand="0" w:noVBand="1"/>
      </w:tblPr>
      <w:tblGrid>
        <w:gridCol w:w="1244"/>
        <w:gridCol w:w="9236"/>
      </w:tblGrid>
      <w:tr w:rsidR="009847EF" w:rsidRPr="009847EF" w14:paraId="4C9AF160" w14:textId="77777777" w:rsidTr="009847EF">
        <w:trPr>
          <w:trHeight w:val="648"/>
        </w:trPr>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5EEDDB0E" w14:textId="77777777" w:rsidR="009847EF" w:rsidRPr="009847EF" w:rsidRDefault="009847EF" w:rsidP="009847EF">
            <w:pPr>
              <w:spacing w:after="160" w:line="256" w:lineRule="auto"/>
              <w:ind w:left="0" w:firstLine="0"/>
              <w:rPr>
                <w:rFonts w:ascii="Arial" w:eastAsia="Times New Roman" w:hAnsi="Arial" w:cs="Arial"/>
                <w:color w:val="auto"/>
                <w:sz w:val="36"/>
                <w:szCs w:val="36"/>
                <w:lang w:val="en-US" w:eastAsia="en-US"/>
              </w:rPr>
            </w:pPr>
            <w:r w:rsidRPr="009847EF">
              <w:rPr>
                <w:rFonts w:cs="Times New Roman"/>
                <w:kern w:val="24"/>
                <w:lang w:val="en-US" w:eastAsia="en-US"/>
              </w:rPr>
              <w:t xml:space="preserve">University </w:t>
            </w:r>
            <w:proofErr w:type="spellStart"/>
            <w:r w:rsidRPr="009847EF">
              <w:rPr>
                <w:rFonts w:cs="Times New Roman"/>
                <w:kern w:val="24"/>
                <w:lang w:val="en-US" w:eastAsia="en-US"/>
              </w:rPr>
              <w:t>Centres</w:t>
            </w:r>
            <w:proofErr w:type="spellEnd"/>
          </w:p>
        </w:tc>
        <w:tc>
          <w:tcPr>
            <w:tcW w:w="9236"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65F9A105" w14:textId="77777777"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Brenda Strafford Centre on Aging</w:t>
            </w:r>
          </w:p>
          <w:p w14:paraId="34A31D1A" w14:textId="5A7E1B5B" w:rsidR="009847EF" w:rsidRPr="007B38A2"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Centre for Health Policy</w:t>
            </w:r>
          </w:p>
          <w:p w14:paraId="32EC623A" w14:textId="21B6969D" w:rsidR="007B38A2" w:rsidRPr="009847EF" w:rsidRDefault="007B38A2"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Pr>
                <w:rFonts w:eastAsia="Times New Roman" w:cs="Times New Roman"/>
                <w:kern w:val="24"/>
                <w:lang w:val="en-US" w:eastAsia="en-US"/>
              </w:rPr>
              <w:t>Health Equity Hub</w:t>
            </w:r>
          </w:p>
          <w:p w14:paraId="70A03194" w14:textId="77777777"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W21C</w:t>
            </w:r>
          </w:p>
        </w:tc>
      </w:tr>
      <w:tr w:rsidR="009847EF" w:rsidRPr="009847EF" w14:paraId="1C667D30" w14:textId="77777777" w:rsidTr="009847EF">
        <w:trPr>
          <w:trHeight w:val="1295"/>
        </w:trPr>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6F2ADE64" w14:textId="77777777" w:rsidR="009847EF" w:rsidRPr="009847EF" w:rsidRDefault="009847EF" w:rsidP="009847EF">
            <w:pPr>
              <w:spacing w:after="160" w:line="256" w:lineRule="auto"/>
              <w:ind w:left="0" w:firstLine="0"/>
              <w:rPr>
                <w:rFonts w:ascii="Arial" w:eastAsia="Times New Roman" w:hAnsi="Arial" w:cs="Arial"/>
                <w:color w:val="auto"/>
                <w:sz w:val="36"/>
                <w:szCs w:val="36"/>
                <w:lang w:val="en-US" w:eastAsia="en-US"/>
              </w:rPr>
            </w:pPr>
            <w:r w:rsidRPr="009847EF">
              <w:rPr>
                <w:rFonts w:cs="Times New Roman"/>
                <w:kern w:val="24"/>
                <w:lang w:val="en-US" w:eastAsia="en-US"/>
              </w:rPr>
              <w:t>Research Interest Groups</w:t>
            </w:r>
          </w:p>
          <w:p w14:paraId="5AA29F75" w14:textId="77777777" w:rsidR="009847EF" w:rsidRPr="009847EF" w:rsidRDefault="009847EF" w:rsidP="009847EF">
            <w:pPr>
              <w:spacing w:after="160" w:line="256" w:lineRule="auto"/>
              <w:ind w:left="0" w:firstLine="0"/>
              <w:rPr>
                <w:rFonts w:ascii="Arial" w:eastAsia="Times New Roman" w:hAnsi="Arial" w:cs="Arial"/>
                <w:color w:val="auto"/>
                <w:sz w:val="36"/>
                <w:szCs w:val="36"/>
                <w:lang w:val="en-US" w:eastAsia="en-US"/>
              </w:rPr>
            </w:pPr>
            <w:r w:rsidRPr="009847EF">
              <w:rPr>
                <w:rFonts w:cs="Times New Roman"/>
                <w:kern w:val="24"/>
                <w:lang w:val="en-US" w:eastAsia="en-US"/>
              </w:rPr>
              <w:t> </w:t>
            </w:r>
          </w:p>
          <w:p w14:paraId="2BCC3288" w14:textId="77777777" w:rsidR="009847EF" w:rsidRPr="009847EF" w:rsidRDefault="009847EF" w:rsidP="009847EF">
            <w:pPr>
              <w:spacing w:after="160" w:line="256" w:lineRule="auto"/>
              <w:ind w:left="0" w:firstLine="0"/>
              <w:rPr>
                <w:rFonts w:ascii="Arial" w:eastAsia="Times New Roman" w:hAnsi="Arial" w:cs="Arial"/>
                <w:color w:val="auto"/>
                <w:sz w:val="36"/>
                <w:szCs w:val="36"/>
                <w:lang w:val="en-US" w:eastAsia="en-US"/>
              </w:rPr>
            </w:pPr>
            <w:r w:rsidRPr="009847EF">
              <w:rPr>
                <w:rFonts w:cs="Times New Roman"/>
                <w:kern w:val="24"/>
                <w:lang w:val="en-US" w:eastAsia="en-US"/>
              </w:rPr>
              <w:t> </w:t>
            </w:r>
          </w:p>
        </w:tc>
        <w:tc>
          <w:tcPr>
            <w:tcW w:w="9236"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5A55DA01" w14:textId="09EE569D" w:rsidR="009847EF" w:rsidRPr="007B38A2"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Geography</w:t>
            </w:r>
            <w:r w:rsidR="007B38A2">
              <w:rPr>
                <w:rFonts w:eastAsia="Times New Roman" w:cs="Times New Roman"/>
                <w:kern w:val="24"/>
                <w:lang w:val="en-US" w:eastAsia="en-US"/>
              </w:rPr>
              <w:t xml:space="preserve"> of Health and GIS Analysis Research Group</w:t>
            </w:r>
          </w:p>
          <w:p w14:paraId="177D87F3" w14:textId="7047A0D8" w:rsidR="007B38A2" w:rsidRPr="007B38A2" w:rsidRDefault="007B38A2"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Pr>
                <w:rFonts w:eastAsia="Times New Roman" w:cs="Times New Roman"/>
                <w:kern w:val="24"/>
                <w:lang w:val="en-US" w:eastAsia="en-US"/>
              </w:rPr>
              <w:t>Group for Patient Reported Measures</w:t>
            </w:r>
          </w:p>
          <w:p w14:paraId="06F266C6" w14:textId="3B89C8A5" w:rsidR="007B38A2" w:rsidRPr="007B38A2" w:rsidRDefault="007B38A2" w:rsidP="007B38A2">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Health Economics</w:t>
            </w:r>
            <w:r>
              <w:rPr>
                <w:rFonts w:eastAsia="Times New Roman" w:cs="Times New Roman"/>
                <w:kern w:val="24"/>
                <w:lang w:val="en-US" w:eastAsia="en-US"/>
              </w:rPr>
              <w:t xml:space="preserve"> Group</w:t>
            </w:r>
          </w:p>
          <w:p w14:paraId="575B75DD" w14:textId="69EEA302" w:rsidR="007B38A2" w:rsidRPr="009847EF" w:rsidRDefault="007B38A2"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Pr>
                <w:rFonts w:eastAsia="Times New Roman" w:cs="Times New Roman"/>
                <w:kern w:val="24"/>
                <w:lang w:val="en-US" w:eastAsia="en-US"/>
              </w:rPr>
              <w:t>Refugee Health YYC</w:t>
            </w:r>
          </w:p>
          <w:p w14:paraId="54E52702" w14:textId="02F071BA" w:rsidR="009847EF" w:rsidRPr="007B38A2"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Sex, Gender and Women’s Health Research Unit</w:t>
            </w:r>
          </w:p>
          <w:p w14:paraId="5D47928F" w14:textId="1BBEE107" w:rsidR="007B38A2" w:rsidRPr="009847EF" w:rsidRDefault="007B38A2"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Pr>
                <w:rFonts w:eastAsia="Times New Roman" w:cs="Times New Roman"/>
                <w:kern w:val="24"/>
                <w:lang w:val="en-US" w:eastAsia="en-US"/>
              </w:rPr>
              <w:t>Transplant Wellness Program</w:t>
            </w:r>
          </w:p>
          <w:p w14:paraId="4FFC4817" w14:textId="77777777"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University of Calgary Biostatistics Centre</w:t>
            </w:r>
          </w:p>
        </w:tc>
      </w:tr>
      <w:tr w:rsidR="009847EF" w:rsidRPr="009847EF" w14:paraId="279E464D" w14:textId="77777777" w:rsidTr="009847EF">
        <w:trPr>
          <w:trHeight w:val="1943"/>
        </w:trPr>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22DD6452" w14:textId="77777777" w:rsidR="009847EF" w:rsidRPr="009847EF" w:rsidRDefault="009847EF" w:rsidP="009847EF">
            <w:pPr>
              <w:spacing w:after="160" w:line="256" w:lineRule="auto"/>
              <w:ind w:left="0" w:firstLine="0"/>
              <w:rPr>
                <w:rFonts w:ascii="Arial" w:eastAsia="Times New Roman" w:hAnsi="Arial" w:cs="Arial"/>
                <w:color w:val="auto"/>
                <w:sz w:val="36"/>
                <w:szCs w:val="36"/>
                <w:lang w:val="en-US" w:eastAsia="en-US"/>
              </w:rPr>
            </w:pPr>
            <w:r w:rsidRPr="009847EF">
              <w:rPr>
                <w:rFonts w:cs="Times New Roman"/>
                <w:kern w:val="24"/>
                <w:lang w:val="en-US" w:eastAsia="en-US"/>
              </w:rPr>
              <w:t>Alliances (sample)</w:t>
            </w:r>
          </w:p>
          <w:p w14:paraId="225E5503" w14:textId="77777777" w:rsidR="009847EF" w:rsidRPr="009847EF" w:rsidRDefault="009847EF" w:rsidP="009847EF">
            <w:pPr>
              <w:spacing w:after="160" w:line="256" w:lineRule="auto"/>
              <w:ind w:left="0" w:firstLine="0"/>
              <w:rPr>
                <w:rFonts w:ascii="Arial" w:eastAsia="Times New Roman" w:hAnsi="Arial" w:cs="Arial"/>
                <w:color w:val="auto"/>
                <w:sz w:val="36"/>
                <w:szCs w:val="36"/>
                <w:lang w:val="en-US" w:eastAsia="en-US"/>
              </w:rPr>
            </w:pPr>
            <w:r w:rsidRPr="009847EF">
              <w:rPr>
                <w:rFonts w:cs="Times New Roman"/>
                <w:kern w:val="24"/>
                <w:lang w:val="en-US" w:eastAsia="en-US"/>
              </w:rPr>
              <w:t> </w:t>
            </w:r>
          </w:p>
          <w:p w14:paraId="17F028E9" w14:textId="77777777" w:rsidR="009847EF" w:rsidRPr="009847EF" w:rsidRDefault="009847EF" w:rsidP="009847EF">
            <w:pPr>
              <w:spacing w:after="160" w:line="256" w:lineRule="auto"/>
              <w:ind w:left="0" w:firstLine="0"/>
              <w:rPr>
                <w:rFonts w:ascii="Arial" w:eastAsia="Times New Roman" w:hAnsi="Arial" w:cs="Arial"/>
                <w:color w:val="auto"/>
                <w:sz w:val="36"/>
                <w:szCs w:val="36"/>
                <w:lang w:val="en-US" w:eastAsia="en-US"/>
              </w:rPr>
            </w:pPr>
            <w:r w:rsidRPr="009847EF">
              <w:rPr>
                <w:rFonts w:cs="Times New Roman"/>
                <w:kern w:val="24"/>
                <w:lang w:val="en-US" w:eastAsia="en-US"/>
              </w:rPr>
              <w:t> </w:t>
            </w:r>
          </w:p>
        </w:tc>
        <w:tc>
          <w:tcPr>
            <w:tcW w:w="9236"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735E3DCB" w14:textId="77777777"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proofErr w:type="spellStart"/>
            <w:r w:rsidRPr="009847EF">
              <w:rPr>
                <w:rFonts w:eastAsia="Times New Roman" w:cs="Times New Roman"/>
                <w:kern w:val="24"/>
                <w:lang w:val="en-US" w:eastAsia="en-US"/>
              </w:rPr>
              <w:t>AbSPORU</w:t>
            </w:r>
            <w:proofErr w:type="spellEnd"/>
            <w:r w:rsidRPr="009847EF">
              <w:rPr>
                <w:rFonts w:eastAsia="Times New Roman" w:cs="Times New Roman"/>
                <w:kern w:val="24"/>
                <w:lang w:val="en-US" w:eastAsia="en-US"/>
              </w:rPr>
              <w:t xml:space="preserve"> (Alberta Strategy for Patient Oriented Research SUPPORT Unit)</w:t>
            </w:r>
          </w:p>
          <w:p w14:paraId="01759C12" w14:textId="77777777"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Centre for Health Informatics</w:t>
            </w:r>
          </w:p>
          <w:p w14:paraId="17F113D1" w14:textId="77777777"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Health Technology Assessment Unit</w:t>
            </w:r>
          </w:p>
          <w:p w14:paraId="1691F206" w14:textId="77777777"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Imagine Citizens for Health</w:t>
            </w:r>
          </w:p>
          <w:p w14:paraId="77FE9EE4" w14:textId="77777777"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Indigenous, Local and Global Health Office</w:t>
            </w:r>
          </w:p>
          <w:p w14:paraId="7E2276B1" w14:textId="77777777"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Mathison Centre</w:t>
            </w:r>
          </w:p>
          <w:p w14:paraId="0B304F14" w14:textId="77777777"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One Health</w:t>
            </w:r>
          </w:p>
          <w:p w14:paraId="57565F99" w14:textId="77777777"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Office of Health &amp; Medical Education Scholarship</w:t>
            </w:r>
          </w:p>
        </w:tc>
      </w:tr>
      <w:tr w:rsidR="009847EF" w:rsidRPr="009847EF" w14:paraId="22309A0D" w14:textId="77777777" w:rsidTr="009847EF">
        <w:trPr>
          <w:trHeight w:val="1637"/>
        </w:trPr>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3E53F804" w14:textId="77777777" w:rsidR="009847EF" w:rsidRPr="009847EF" w:rsidRDefault="009847EF" w:rsidP="009847EF">
            <w:pPr>
              <w:spacing w:after="160" w:line="256" w:lineRule="auto"/>
              <w:ind w:left="0" w:firstLine="0"/>
              <w:rPr>
                <w:rFonts w:ascii="Arial" w:eastAsia="Times New Roman" w:hAnsi="Arial" w:cs="Arial"/>
                <w:color w:val="auto"/>
                <w:sz w:val="36"/>
                <w:szCs w:val="36"/>
                <w:lang w:val="en-US" w:eastAsia="en-US"/>
              </w:rPr>
            </w:pPr>
            <w:r w:rsidRPr="009847EF">
              <w:rPr>
                <w:rFonts w:cs="Times New Roman"/>
                <w:kern w:val="24"/>
                <w:lang w:val="en-US" w:eastAsia="en-US"/>
              </w:rPr>
              <w:t>Member Initiatives (sample)</w:t>
            </w:r>
          </w:p>
        </w:tc>
        <w:tc>
          <w:tcPr>
            <w:tcW w:w="9236"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6A7E7F58" w14:textId="3D0415E3" w:rsidR="009847EF" w:rsidRPr="007B38A2" w:rsidRDefault="007B38A2"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Pr>
                <w:rFonts w:eastAsia="Times New Roman" w:cs="Times New Roman"/>
                <w:kern w:val="24"/>
                <w:lang w:val="en-US" w:eastAsia="en-US"/>
              </w:rPr>
              <w:t>Alberta</w:t>
            </w:r>
            <w:r w:rsidR="009847EF" w:rsidRPr="009847EF">
              <w:rPr>
                <w:rFonts w:eastAsia="Times New Roman" w:cs="Times New Roman"/>
                <w:kern w:val="24"/>
                <w:lang w:val="en-US" w:eastAsia="en-US"/>
              </w:rPr>
              <w:t xml:space="preserve"> Kidney Disease Network (</w:t>
            </w:r>
            <w:r>
              <w:rPr>
                <w:rFonts w:eastAsia="Times New Roman" w:cs="Times New Roman"/>
                <w:kern w:val="24"/>
                <w:lang w:val="en-US" w:eastAsia="en-US"/>
              </w:rPr>
              <w:t>A</w:t>
            </w:r>
            <w:r w:rsidR="009847EF" w:rsidRPr="009847EF">
              <w:rPr>
                <w:rFonts w:eastAsia="Times New Roman" w:cs="Times New Roman"/>
                <w:kern w:val="24"/>
                <w:lang w:val="en-US" w:eastAsia="en-US"/>
              </w:rPr>
              <w:t>KDN)</w:t>
            </w:r>
          </w:p>
          <w:p w14:paraId="60C872CA" w14:textId="0B63D3CA" w:rsidR="007B38A2" w:rsidRPr="009847EF" w:rsidRDefault="007B38A2"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Pr>
                <w:rFonts w:eastAsia="Times New Roman" w:cs="Times New Roman"/>
                <w:kern w:val="24"/>
                <w:lang w:val="en-US" w:eastAsia="en-US"/>
              </w:rPr>
              <w:t>Alberta Pregnancy Outcomes &amp; Nutrition Study (APrON)</w:t>
            </w:r>
          </w:p>
          <w:p w14:paraId="5E49AA4A" w14:textId="77777777" w:rsidR="007B38A2" w:rsidRPr="007B38A2" w:rsidRDefault="007B38A2"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Alberta Provincial Project for Outcome Assessment in Coronary Heart Disease (APPROACH)</w:t>
            </w:r>
          </w:p>
          <w:p w14:paraId="2EF34A67" w14:textId="77777777" w:rsidR="007B38A2" w:rsidRPr="007B38A2" w:rsidRDefault="007B38A2"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Pr>
                <w:rFonts w:eastAsia="Times New Roman" w:cs="Times New Roman"/>
                <w:kern w:val="24"/>
                <w:lang w:val="en-US" w:eastAsia="en-US"/>
              </w:rPr>
              <w:t>All our Families Study</w:t>
            </w:r>
          </w:p>
          <w:p w14:paraId="040E5709" w14:textId="77777777" w:rsidR="007B38A2" w:rsidRPr="007B38A2" w:rsidRDefault="007B38A2"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Pr>
                <w:rFonts w:eastAsia="Times New Roman" w:cs="Times New Roman"/>
                <w:kern w:val="24"/>
                <w:lang w:val="en-US" w:eastAsia="en-US"/>
              </w:rPr>
              <w:t>Black Youth Mentorship and Leadership Program</w:t>
            </w:r>
          </w:p>
          <w:p w14:paraId="180DA2E0" w14:textId="77777777" w:rsidR="007B38A2" w:rsidRPr="007B38A2" w:rsidRDefault="007B38A2"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Pr>
                <w:rFonts w:eastAsia="Times New Roman" w:cs="Times New Roman"/>
                <w:kern w:val="24"/>
                <w:lang w:val="en-US" w:eastAsia="en-US"/>
              </w:rPr>
              <w:t>Health Everywhere Hub</w:t>
            </w:r>
          </w:p>
          <w:p w14:paraId="034811F6" w14:textId="77777777" w:rsidR="007B38A2" w:rsidRPr="007B38A2" w:rsidRDefault="007B38A2"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Pr>
                <w:rFonts w:eastAsia="Times New Roman" w:cs="Times New Roman"/>
                <w:kern w:val="24"/>
                <w:lang w:val="en-US" w:eastAsia="en-US"/>
              </w:rPr>
              <w:t>Health Policy Trials Unit</w:t>
            </w:r>
          </w:p>
          <w:p w14:paraId="11E83C9F" w14:textId="02E76CDD" w:rsidR="009847EF" w:rsidRPr="009847EF" w:rsidRDefault="009847EF" w:rsidP="009847EF">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9847EF">
              <w:rPr>
                <w:rFonts w:eastAsia="Times New Roman" w:cs="Times New Roman"/>
                <w:kern w:val="24"/>
                <w:lang w:val="en-US" w:eastAsia="en-US"/>
              </w:rPr>
              <w:t>Interdisciplinary Chronic Disease Collaboration (ICDC)</w:t>
            </w:r>
          </w:p>
          <w:p w14:paraId="2BAED555" w14:textId="77777777" w:rsidR="009847EF" w:rsidRPr="00315851" w:rsidRDefault="009847EF" w:rsidP="009847EF">
            <w:pPr>
              <w:pStyle w:val="ListParagraph"/>
              <w:numPr>
                <w:ilvl w:val="0"/>
                <w:numId w:val="9"/>
              </w:numPr>
              <w:spacing w:after="0" w:line="240" w:lineRule="auto"/>
              <w:ind w:left="457" w:hanging="283"/>
              <w:rPr>
                <w:rFonts w:eastAsia="Times New Roman" w:cs="Times New Roman"/>
                <w:kern w:val="24"/>
                <w:lang w:val="en-US" w:eastAsia="en-US"/>
              </w:rPr>
            </w:pPr>
            <w:r w:rsidRPr="009847EF">
              <w:rPr>
                <w:rFonts w:eastAsia="Times New Roman" w:cs="Times New Roman"/>
                <w:kern w:val="24"/>
                <w:lang w:val="en-US" w:eastAsia="en-US"/>
              </w:rPr>
              <w:t>Person to Population Research Collaborative (P2)</w:t>
            </w:r>
          </w:p>
          <w:p w14:paraId="08D9AF8E" w14:textId="0985249F" w:rsidR="009847EF" w:rsidRPr="007B38A2" w:rsidRDefault="00315851" w:rsidP="00315851">
            <w:pPr>
              <w:pStyle w:val="ListParagraph"/>
              <w:numPr>
                <w:ilvl w:val="0"/>
                <w:numId w:val="9"/>
              </w:numPr>
              <w:spacing w:after="0" w:line="240" w:lineRule="auto"/>
              <w:ind w:left="457" w:hanging="283"/>
              <w:rPr>
                <w:rFonts w:ascii="Arial" w:eastAsia="Times New Roman" w:hAnsi="Arial" w:cs="Arial"/>
                <w:color w:val="auto"/>
                <w:szCs w:val="36"/>
                <w:lang w:val="en-US" w:eastAsia="en-US"/>
              </w:rPr>
            </w:pPr>
            <w:r w:rsidRPr="00315851">
              <w:rPr>
                <w:rFonts w:eastAsia="Times New Roman" w:cs="Times New Roman"/>
                <w:kern w:val="24"/>
                <w:lang w:val="en-US" w:eastAsia="en-US"/>
              </w:rPr>
              <w:t>UCalgary World Health Organization Collaborating Centre for Classification, Terminology &amp; Standards</w:t>
            </w:r>
          </w:p>
        </w:tc>
      </w:tr>
    </w:tbl>
    <w:p w14:paraId="23FBB805" w14:textId="0ACF57F5" w:rsidR="009847EF" w:rsidRDefault="009847EF" w:rsidP="005E4D76">
      <w:pPr>
        <w:spacing w:after="0" w:line="276" w:lineRule="auto"/>
        <w:ind w:left="-2" w:right="12"/>
        <w:rPr>
          <w:rFonts w:asciiTheme="minorHAnsi" w:hAnsiTheme="minorHAnsi" w:cstheme="minorHAnsi"/>
        </w:rPr>
      </w:pPr>
    </w:p>
    <w:p w14:paraId="4F6E1810" w14:textId="77777777" w:rsidR="009847EF" w:rsidRDefault="009847EF" w:rsidP="005E4D76">
      <w:pPr>
        <w:spacing w:after="0" w:line="276" w:lineRule="auto"/>
        <w:ind w:left="-2" w:right="12"/>
        <w:rPr>
          <w:rFonts w:asciiTheme="minorHAnsi" w:hAnsiTheme="minorHAnsi" w:cstheme="minorHAnsi"/>
        </w:rPr>
      </w:pPr>
    </w:p>
    <w:p w14:paraId="7A99C68D" w14:textId="6803E0C5" w:rsidR="005E4D76" w:rsidRPr="00DF4BA1" w:rsidRDefault="005E4D76" w:rsidP="005E4D76">
      <w:pPr>
        <w:spacing w:after="0" w:line="276" w:lineRule="auto"/>
        <w:ind w:left="-2" w:right="12"/>
        <w:rPr>
          <w:rFonts w:asciiTheme="minorHAnsi" w:hAnsiTheme="minorHAnsi" w:cstheme="minorHAnsi"/>
        </w:rPr>
      </w:pPr>
      <w:r w:rsidRPr="00DF4BA1">
        <w:rPr>
          <w:rFonts w:asciiTheme="minorHAnsi" w:hAnsiTheme="minorHAnsi" w:cstheme="minorHAnsi"/>
        </w:rPr>
        <w:t xml:space="preserve">The O’Brien Institute’s </w:t>
      </w:r>
      <w:r w:rsidRPr="004C6B5B">
        <w:rPr>
          <w:rFonts w:asciiTheme="minorHAnsi" w:hAnsiTheme="minorHAnsi" w:cstheme="minorHAnsi"/>
          <w:b/>
        </w:rPr>
        <w:t>support programs and activities</w:t>
      </w:r>
      <w:r w:rsidRPr="00DF4BA1">
        <w:rPr>
          <w:rFonts w:asciiTheme="minorHAnsi" w:hAnsiTheme="minorHAnsi" w:cstheme="minorHAnsi"/>
        </w:rPr>
        <w:t xml:space="preserve"> facilitate knowledge</w:t>
      </w:r>
      <w:r w:rsidR="00C1057B">
        <w:rPr>
          <w:rFonts w:asciiTheme="minorHAnsi" w:hAnsiTheme="minorHAnsi" w:cstheme="minorHAnsi"/>
        </w:rPr>
        <w:t xml:space="preserve"> </w:t>
      </w:r>
      <w:r w:rsidRPr="00DF4BA1">
        <w:rPr>
          <w:rFonts w:asciiTheme="minorHAnsi" w:hAnsiTheme="minorHAnsi" w:cstheme="minorHAnsi"/>
        </w:rPr>
        <w:t xml:space="preserve">generation, knowledge </w:t>
      </w:r>
      <w:r w:rsidR="00C1057B">
        <w:rPr>
          <w:rFonts w:asciiTheme="minorHAnsi" w:hAnsiTheme="minorHAnsi" w:cstheme="minorHAnsi"/>
        </w:rPr>
        <w:t>exchange</w:t>
      </w:r>
      <w:r w:rsidRPr="00DF4BA1">
        <w:rPr>
          <w:rFonts w:asciiTheme="minorHAnsi" w:hAnsiTheme="minorHAnsi" w:cstheme="minorHAnsi"/>
        </w:rPr>
        <w:t>, professional development</w:t>
      </w:r>
      <w:r w:rsidR="00523F29">
        <w:rPr>
          <w:rFonts w:asciiTheme="minorHAnsi" w:hAnsiTheme="minorHAnsi" w:cstheme="minorHAnsi"/>
        </w:rPr>
        <w:t xml:space="preserve">, </w:t>
      </w:r>
      <w:r w:rsidR="008528B4">
        <w:rPr>
          <w:rFonts w:asciiTheme="minorHAnsi" w:hAnsiTheme="minorHAnsi" w:cstheme="minorHAnsi"/>
        </w:rPr>
        <w:t>and</w:t>
      </w:r>
      <w:r w:rsidRPr="00DF4BA1">
        <w:rPr>
          <w:rFonts w:asciiTheme="minorHAnsi" w:hAnsiTheme="minorHAnsi" w:cstheme="minorHAnsi"/>
        </w:rPr>
        <w:t xml:space="preserve"> networking among the broad membership </w:t>
      </w:r>
      <w:r w:rsidR="00523F29">
        <w:rPr>
          <w:rFonts w:asciiTheme="minorHAnsi" w:hAnsiTheme="minorHAnsi" w:cstheme="minorHAnsi"/>
        </w:rPr>
        <w:t>and stakeholder groups</w:t>
      </w:r>
      <w:r w:rsidR="00870010">
        <w:rPr>
          <w:rFonts w:asciiTheme="minorHAnsi" w:hAnsiTheme="minorHAnsi" w:cstheme="minorHAnsi"/>
        </w:rPr>
        <w:t>.  They</w:t>
      </w:r>
      <w:r w:rsidR="00523F29">
        <w:rPr>
          <w:rFonts w:asciiTheme="minorHAnsi" w:hAnsiTheme="minorHAnsi" w:cstheme="minorHAnsi"/>
        </w:rPr>
        <w:t xml:space="preserve"> include: </w:t>
      </w:r>
      <w:r w:rsidRPr="00DF4BA1">
        <w:rPr>
          <w:rFonts w:asciiTheme="minorHAnsi" w:hAnsiTheme="minorHAnsi" w:cstheme="minorHAnsi"/>
        </w:rPr>
        <w:t xml:space="preserve"> a seminar series; member forums; various communication tools; special events; and programs for</w:t>
      </w:r>
      <w:r w:rsidR="00C1057B">
        <w:rPr>
          <w:rFonts w:asciiTheme="minorHAnsi" w:hAnsiTheme="minorHAnsi" w:cstheme="minorHAnsi"/>
        </w:rPr>
        <w:t xml:space="preserve"> internal peer review, </w:t>
      </w:r>
      <w:r w:rsidR="00523F29">
        <w:rPr>
          <w:rFonts w:asciiTheme="minorHAnsi" w:hAnsiTheme="minorHAnsi" w:cstheme="minorHAnsi"/>
        </w:rPr>
        <w:t>awards</w:t>
      </w:r>
      <w:r w:rsidR="00870010">
        <w:rPr>
          <w:rFonts w:asciiTheme="minorHAnsi" w:hAnsiTheme="minorHAnsi" w:cstheme="minorHAnsi"/>
        </w:rPr>
        <w:t xml:space="preserve"> and </w:t>
      </w:r>
      <w:r w:rsidR="00523F29">
        <w:rPr>
          <w:rFonts w:asciiTheme="minorHAnsi" w:hAnsiTheme="minorHAnsi" w:cstheme="minorHAnsi"/>
        </w:rPr>
        <w:t>recognition</w:t>
      </w:r>
      <w:r w:rsidR="00870010">
        <w:rPr>
          <w:rFonts w:asciiTheme="minorHAnsi" w:hAnsiTheme="minorHAnsi" w:cstheme="minorHAnsi"/>
        </w:rPr>
        <w:t>,</w:t>
      </w:r>
      <w:r w:rsidR="00523F29" w:rsidRPr="00DF4BA1">
        <w:rPr>
          <w:rFonts w:asciiTheme="minorHAnsi" w:hAnsiTheme="minorHAnsi" w:cstheme="minorHAnsi"/>
        </w:rPr>
        <w:t xml:space="preserve"> </w:t>
      </w:r>
      <w:r w:rsidRPr="00DF4BA1">
        <w:rPr>
          <w:rFonts w:asciiTheme="minorHAnsi" w:hAnsiTheme="minorHAnsi" w:cstheme="minorHAnsi"/>
        </w:rPr>
        <w:t>mentorship</w:t>
      </w:r>
      <w:r w:rsidR="00523F29">
        <w:rPr>
          <w:rFonts w:asciiTheme="minorHAnsi" w:hAnsiTheme="minorHAnsi" w:cstheme="minorHAnsi"/>
        </w:rPr>
        <w:t xml:space="preserve"> and</w:t>
      </w:r>
      <w:r w:rsidRPr="00DF4BA1">
        <w:rPr>
          <w:rFonts w:asciiTheme="minorHAnsi" w:hAnsiTheme="minorHAnsi" w:cstheme="minorHAnsi"/>
        </w:rPr>
        <w:t xml:space="preserve"> leadership. These assets are often used to inform members of strategies and tactics for success in their research endeavours, from panels on grant writing strategies to research program planning, benefiting from the participation of experienced leaders with relevant expertise.</w:t>
      </w:r>
    </w:p>
    <w:p w14:paraId="786302FC" w14:textId="1A4972D0" w:rsidR="005E4D76" w:rsidRPr="00DF4BA1" w:rsidRDefault="005E4D76" w:rsidP="005E4D76">
      <w:pPr>
        <w:spacing w:after="0" w:line="276" w:lineRule="auto"/>
        <w:ind w:left="2" w:firstLine="0"/>
        <w:rPr>
          <w:rFonts w:asciiTheme="minorHAnsi" w:hAnsiTheme="minorHAnsi" w:cstheme="minorHAnsi"/>
        </w:rPr>
      </w:pPr>
    </w:p>
    <w:p w14:paraId="09766FD1" w14:textId="1AA9360A" w:rsidR="005E4D76" w:rsidRPr="00DF4BA1" w:rsidRDefault="005E4D76" w:rsidP="005E4D76">
      <w:pPr>
        <w:spacing w:after="0" w:line="276" w:lineRule="auto"/>
        <w:ind w:left="-2" w:right="12"/>
        <w:rPr>
          <w:rFonts w:asciiTheme="minorHAnsi" w:hAnsiTheme="minorHAnsi" w:cstheme="minorHAnsi"/>
        </w:rPr>
      </w:pPr>
      <w:r w:rsidRPr="00DF4BA1">
        <w:rPr>
          <w:rFonts w:asciiTheme="minorHAnsi" w:hAnsiTheme="minorHAnsi" w:cstheme="minorHAnsi"/>
        </w:rPr>
        <w:t xml:space="preserve">The </w:t>
      </w:r>
      <w:r w:rsidRPr="004C6B5B">
        <w:rPr>
          <w:rFonts w:asciiTheme="minorHAnsi" w:hAnsiTheme="minorHAnsi" w:cstheme="minorHAnsi"/>
          <w:b/>
        </w:rPr>
        <w:t>internal peer review program</w:t>
      </w:r>
      <w:r w:rsidRPr="00DF4BA1">
        <w:rPr>
          <w:rFonts w:asciiTheme="minorHAnsi" w:hAnsiTheme="minorHAnsi" w:cstheme="minorHAnsi"/>
        </w:rPr>
        <w:t xml:space="preserve"> is considered particularly effective, contributing to numbers of successful funding applications that consistently match or exceed local and national benchmarks.  </w:t>
      </w:r>
      <w:r w:rsidR="009A61C2">
        <w:rPr>
          <w:rFonts w:asciiTheme="minorHAnsi" w:hAnsiTheme="minorHAnsi" w:cstheme="minorHAnsi"/>
        </w:rPr>
        <w:t>It can involve:  a few</w:t>
      </w:r>
      <w:r w:rsidRPr="00DF4BA1">
        <w:rPr>
          <w:rFonts w:asciiTheme="minorHAnsi" w:hAnsiTheme="minorHAnsi" w:cstheme="minorHAnsi"/>
        </w:rPr>
        <w:t xml:space="preserve"> relevant experts </w:t>
      </w:r>
      <w:r w:rsidR="009A61C2">
        <w:rPr>
          <w:rFonts w:asciiTheme="minorHAnsi" w:hAnsiTheme="minorHAnsi" w:cstheme="minorHAnsi"/>
        </w:rPr>
        <w:t>who</w:t>
      </w:r>
      <w:r w:rsidRPr="00DF4BA1">
        <w:rPr>
          <w:rFonts w:asciiTheme="minorHAnsi" w:hAnsiTheme="minorHAnsi" w:cstheme="minorHAnsi"/>
        </w:rPr>
        <w:t xml:space="preserve"> participate in an applicant-led operating grant review process; </w:t>
      </w:r>
      <w:r w:rsidR="009A61C2">
        <w:rPr>
          <w:rFonts w:asciiTheme="minorHAnsi" w:hAnsiTheme="minorHAnsi" w:cstheme="minorHAnsi"/>
        </w:rPr>
        <w:t>a panel that provides feedback on a member’s new project concepts or career objectives</w:t>
      </w:r>
      <w:r w:rsidRPr="00DF4BA1">
        <w:rPr>
          <w:rFonts w:asciiTheme="minorHAnsi" w:hAnsiTheme="minorHAnsi" w:cstheme="minorHAnsi"/>
        </w:rPr>
        <w:t xml:space="preserve">; </w:t>
      </w:r>
      <w:r w:rsidR="009A61C2">
        <w:rPr>
          <w:rFonts w:asciiTheme="minorHAnsi" w:hAnsiTheme="minorHAnsi" w:cstheme="minorHAnsi"/>
        </w:rPr>
        <w:t>a</w:t>
      </w:r>
      <w:r w:rsidRPr="00DF4BA1">
        <w:rPr>
          <w:rFonts w:asciiTheme="minorHAnsi" w:hAnsiTheme="minorHAnsi" w:cstheme="minorHAnsi"/>
        </w:rPr>
        <w:t xml:space="preserve"> bespoke multidisciplinary committee to review all Institute submissions to a particular competition; dedicated meetings with the Institute Review Leads; and other such combinations. In addition to increasing the quality of submitted applications, the internal peer review program is credited with stimulating valuable networking among the membership. The collegial environment that enables this and other Institute support programs has been much lauded by external reviewers. </w:t>
      </w:r>
    </w:p>
    <w:p w14:paraId="1FAC588E" w14:textId="77777777" w:rsidR="005E4D76" w:rsidRPr="00DF4BA1" w:rsidRDefault="005E4D76" w:rsidP="005E4D76">
      <w:pPr>
        <w:spacing w:after="0" w:line="276" w:lineRule="auto"/>
        <w:ind w:left="2" w:firstLine="0"/>
        <w:rPr>
          <w:rFonts w:asciiTheme="minorHAnsi" w:hAnsiTheme="minorHAnsi" w:cstheme="minorHAnsi"/>
        </w:rPr>
      </w:pPr>
      <w:r w:rsidRPr="00DF4BA1">
        <w:rPr>
          <w:rFonts w:asciiTheme="minorHAnsi" w:hAnsiTheme="minorHAnsi" w:cstheme="minorHAnsi"/>
        </w:rPr>
        <w:t xml:space="preserve"> </w:t>
      </w:r>
    </w:p>
    <w:p w14:paraId="31CDF8D5" w14:textId="581240CB" w:rsidR="005E4D76" w:rsidRPr="00DF4BA1" w:rsidRDefault="005E4D76" w:rsidP="005E4D76">
      <w:pPr>
        <w:spacing w:after="0" w:line="276" w:lineRule="auto"/>
        <w:ind w:left="-2" w:right="12"/>
        <w:rPr>
          <w:rFonts w:asciiTheme="minorHAnsi" w:hAnsiTheme="minorHAnsi" w:cstheme="minorHAnsi"/>
        </w:rPr>
      </w:pPr>
      <w:r w:rsidRPr="004C6B5B">
        <w:rPr>
          <w:rFonts w:asciiTheme="minorHAnsi" w:hAnsiTheme="minorHAnsi" w:cstheme="minorHAnsi"/>
          <w:b/>
        </w:rPr>
        <w:t>Societal impact</w:t>
      </w:r>
      <w:r w:rsidRPr="00DF4BA1">
        <w:rPr>
          <w:rFonts w:asciiTheme="minorHAnsi" w:hAnsiTheme="minorHAnsi" w:cstheme="minorHAnsi"/>
        </w:rPr>
        <w:t xml:space="preserve"> is one </w:t>
      </w:r>
      <w:r w:rsidR="00CF7624">
        <w:rPr>
          <w:rFonts w:asciiTheme="minorHAnsi" w:hAnsiTheme="minorHAnsi" w:cstheme="minorHAnsi"/>
        </w:rPr>
        <w:t xml:space="preserve">half </w:t>
      </w:r>
      <w:r w:rsidRPr="00DF4BA1">
        <w:rPr>
          <w:rFonts w:asciiTheme="minorHAnsi" w:hAnsiTheme="minorHAnsi" w:cstheme="minorHAnsi"/>
        </w:rPr>
        <w:t xml:space="preserve">of the O’Brien Institute’s </w:t>
      </w:r>
      <w:r w:rsidR="00CF7624">
        <w:rPr>
          <w:rFonts w:asciiTheme="minorHAnsi" w:hAnsiTheme="minorHAnsi" w:cstheme="minorHAnsi"/>
        </w:rPr>
        <w:t>mission</w:t>
      </w:r>
      <w:r w:rsidRPr="00DF4BA1">
        <w:rPr>
          <w:rFonts w:asciiTheme="minorHAnsi" w:hAnsiTheme="minorHAnsi" w:cstheme="minorHAnsi"/>
        </w:rPr>
        <w:t xml:space="preserve">, and the desired result of the </w:t>
      </w:r>
      <w:r w:rsidR="00CF7624">
        <w:rPr>
          <w:rFonts w:asciiTheme="minorHAnsi" w:hAnsiTheme="minorHAnsi" w:cstheme="minorHAnsi"/>
        </w:rPr>
        <w:t>other half (</w:t>
      </w:r>
      <w:r w:rsidRPr="00DF4BA1">
        <w:rPr>
          <w:rFonts w:asciiTheme="minorHAnsi" w:hAnsiTheme="minorHAnsi" w:cstheme="minorHAnsi"/>
        </w:rPr>
        <w:t>academic excellence</w:t>
      </w:r>
      <w:r w:rsidR="00CF7624">
        <w:rPr>
          <w:rFonts w:asciiTheme="minorHAnsi" w:hAnsiTheme="minorHAnsi" w:cstheme="minorHAnsi"/>
        </w:rPr>
        <w:t>)</w:t>
      </w:r>
      <w:r w:rsidRPr="00DF4BA1">
        <w:rPr>
          <w:rFonts w:asciiTheme="minorHAnsi" w:hAnsiTheme="minorHAnsi" w:cstheme="minorHAnsi"/>
        </w:rPr>
        <w:t xml:space="preserve">. Sophisticated knowledge </w:t>
      </w:r>
      <w:r w:rsidR="00CF7624">
        <w:rPr>
          <w:rFonts w:asciiTheme="minorHAnsi" w:hAnsiTheme="minorHAnsi" w:cstheme="minorHAnsi"/>
        </w:rPr>
        <w:t>exchange</w:t>
      </w:r>
      <w:r w:rsidRPr="00DF4BA1">
        <w:rPr>
          <w:rFonts w:asciiTheme="minorHAnsi" w:hAnsiTheme="minorHAnsi" w:cstheme="minorHAnsi"/>
        </w:rPr>
        <w:t xml:space="preserve"> and partnership building are required elements of achieving benefits to society, and the Institute has designed its governance structure and human resources to attain this goal. In addition to linking knowledge generators and knowledge end-users within the membership, the Institute is increasingly successful in brokering external relationships with provincial and national interest groups, policy makers, funding agencies, the media, philanthropists, and community stakeholders, thereby extending the reach and impact of its members’ significant research outputs.</w:t>
      </w:r>
    </w:p>
    <w:p w14:paraId="45CFD487" w14:textId="77777777" w:rsidR="005E4D76" w:rsidRPr="00DF4BA1" w:rsidRDefault="005E4D76" w:rsidP="005E4D76">
      <w:pPr>
        <w:spacing w:after="0" w:line="276" w:lineRule="auto"/>
        <w:ind w:left="2" w:firstLine="0"/>
        <w:rPr>
          <w:rFonts w:asciiTheme="minorHAnsi" w:hAnsiTheme="minorHAnsi" w:cstheme="minorHAnsi"/>
        </w:rPr>
      </w:pPr>
      <w:r w:rsidRPr="00DF4BA1">
        <w:rPr>
          <w:rFonts w:asciiTheme="minorHAnsi" w:hAnsiTheme="minorHAnsi" w:cstheme="minorHAnsi"/>
        </w:rPr>
        <w:t xml:space="preserve"> </w:t>
      </w:r>
    </w:p>
    <w:p w14:paraId="339CC55C" w14:textId="1BF26465" w:rsidR="00CC6927" w:rsidRDefault="005E4D76" w:rsidP="00CF7624">
      <w:pPr>
        <w:spacing w:after="0" w:line="276" w:lineRule="auto"/>
        <w:ind w:left="-2" w:right="12"/>
      </w:pPr>
      <w:r w:rsidRPr="004C6B5B">
        <w:rPr>
          <w:rFonts w:asciiTheme="minorHAnsi" w:hAnsiTheme="minorHAnsi" w:cstheme="minorHAnsi"/>
          <w:b/>
        </w:rPr>
        <w:t>Shared infrastructure</w:t>
      </w:r>
      <w:r w:rsidRPr="00DF4BA1">
        <w:rPr>
          <w:rFonts w:asciiTheme="minorHAnsi" w:hAnsiTheme="minorHAnsi" w:cstheme="minorHAnsi"/>
        </w:rPr>
        <w:t xml:space="preserve"> for population health and health services research is also made available through the O’Brien Institute. The 3</w:t>
      </w:r>
      <w:r w:rsidRPr="00DF4BA1">
        <w:rPr>
          <w:rFonts w:asciiTheme="minorHAnsi" w:hAnsiTheme="minorHAnsi" w:cstheme="minorHAnsi"/>
          <w:vertAlign w:val="superscript"/>
        </w:rPr>
        <w:t>rd</w:t>
      </w:r>
      <w:r w:rsidRPr="00DF4BA1">
        <w:rPr>
          <w:rFonts w:asciiTheme="minorHAnsi" w:hAnsiTheme="minorHAnsi" w:cstheme="minorHAnsi"/>
        </w:rPr>
        <w:t xml:space="preserve"> floor of the Cumming School of Medicine’s </w:t>
      </w:r>
      <w:r w:rsidR="00224B28">
        <w:rPr>
          <w:rFonts w:asciiTheme="minorHAnsi" w:hAnsiTheme="minorHAnsi" w:cstheme="minorHAnsi"/>
        </w:rPr>
        <w:t>CWPH</w:t>
      </w:r>
      <w:r w:rsidRPr="00DF4BA1">
        <w:rPr>
          <w:rFonts w:asciiTheme="minorHAnsi" w:hAnsiTheme="minorHAnsi" w:cstheme="minorHAnsi"/>
        </w:rPr>
        <w:t xml:space="preserve"> Building comprises office space for faculty members in the Department of Community Health Sciences, and workstations for research staff and Institute employees. As the physical hub for the Institute, </w:t>
      </w:r>
      <w:r w:rsidR="00224B28">
        <w:rPr>
          <w:rFonts w:asciiTheme="minorHAnsi" w:hAnsiTheme="minorHAnsi" w:cstheme="minorHAnsi"/>
        </w:rPr>
        <w:t>CWPH</w:t>
      </w:r>
      <w:r w:rsidRPr="00DF4BA1">
        <w:rPr>
          <w:rFonts w:asciiTheme="minorHAnsi" w:hAnsiTheme="minorHAnsi" w:cstheme="minorHAnsi"/>
        </w:rPr>
        <w:t xml:space="preserve"> 3</w:t>
      </w:r>
      <w:r w:rsidRPr="00DF4BA1">
        <w:rPr>
          <w:rFonts w:asciiTheme="minorHAnsi" w:hAnsiTheme="minorHAnsi" w:cstheme="minorHAnsi"/>
          <w:vertAlign w:val="superscript"/>
        </w:rPr>
        <w:t>rd</w:t>
      </w:r>
      <w:r w:rsidRPr="00DF4BA1">
        <w:rPr>
          <w:rFonts w:asciiTheme="minorHAnsi" w:hAnsiTheme="minorHAnsi" w:cstheme="minorHAnsi"/>
        </w:rPr>
        <w:t xml:space="preserve"> floor has several conference rooms designed for in-person and virtual meetings, computer stations hosting relevant software, drop-in desks for students, and drop-in offices for visiting faculty. </w:t>
      </w:r>
      <w:r w:rsidRPr="00DF4BA1">
        <w:rPr>
          <w:rFonts w:asciiTheme="minorHAnsi" w:hAnsiTheme="minorHAnsi" w:cstheme="minorHAnsi"/>
          <w:color w:val="2F2F2F"/>
        </w:rPr>
        <w:t>The W21C program</w:t>
      </w:r>
      <w:r w:rsidR="000E453B">
        <w:rPr>
          <w:rFonts w:asciiTheme="minorHAnsi" w:hAnsiTheme="minorHAnsi" w:cstheme="minorHAnsi"/>
          <w:color w:val="2F2F2F"/>
        </w:rPr>
        <w:t>, located on the 1</w:t>
      </w:r>
      <w:r w:rsidR="000E453B" w:rsidRPr="00A529B9">
        <w:rPr>
          <w:rFonts w:asciiTheme="minorHAnsi" w:hAnsiTheme="minorHAnsi" w:cstheme="minorHAnsi"/>
          <w:color w:val="2F2F2F"/>
          <w:vertAlign w:val="superscript"/>
        </w:rPr>
        <w:t>st</w:t>
      </w:r>
      <w:r w:rsidR="000E453B">
        <w:rPr>
          <w:rFonts w:asciiTheme="minorHAnsi" w:hAnsiTheme="minorHAnsi" w:cstheme="minorHAnsi"/>
          <w:color w:val="2F2F2F"/>
        </w:rPr>
        <w:t xml:space="preserve"> floor of the </w:t>
      </w:r>
      <w:r w:rsidR="00224B28">
        <w:rPr>
          <w:rFonts w:asciiTheme="minorHAnsi" w:hAnsiTheme="minorHAnsi" w:cstheme="minorHAnsi"/>
          <w:color w:val="2F2F2F"/>
        </w:rPr>
        <w:t>CWPH</w:t>
      </w:r>
      <w:bookmarkStart w:id="1" w:name="_GoBack"/>
      <w:bookmarkEnd w:id="1"/>
      <w:r w:rsidR="000E453B">
        <w:rPr>
          <w:rFonts w:asciiTheme="minorHAnsi" w:hAnsiTheme="minorHAnsi" w:cstheme="minorHAnsi"/>
          <w:color w:val="2F2F2F"/>
        </w:rPr>
        <w:t>,</w:t>
      </w:r>
      <w:r w:rsidRPr="00DF4BA1">
        <w:rPr>
          <w:rFonts w:asciiTheme="minorHAnsi" w:hAnsiTheme="minorHAnsi" w:cstheme="minorHAnsi"/>
          <w:color w:val="2F2F2F"/>
        </w:rPr>
        <w:t xml:space="preserve"> manages health systems research space, including patient and provider simulations. </w:t>
      </w:r>
    </w:p>
    <w:sectPr w:rsidR="00CC69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C9C"/>
    <w:multiLevelType w:val="hybridMultilevel"/>
    <w:tmpl w:val="9424D7F6"/>
    <w:lvl w:ilvl="0" w:tplc="8D9E6FB8">
      <w:start w:val="1"/>
      <w:numFmt w:val="bullet"/>
      <w:lvlText w:val="•"/>
      <w:lvlJc w:val="left"/>
      <w:pPr>
        <w:ind w:left="722"/>
      </w:pPr>
      <w:rPr>
        <w:rFonts w:ascii="Arial" w:eastAsia="Arial" w:hAnsi="Arial" w:cs="Arial"/>
        <w:b w:val="0"/>
        <w:i w:val="0"/>
        <w:strike w:val="0"/>
        <w:dstrike w:val="0"/>
        <w:color w:val="2F2F2F"/>
        <w:sz w:val="22"/>
        <w:szCs w:val="22"/>
        <w:u w:val="none" w:color="000000"/>
        <w:bdr w:val="none" w:sz="0" w:space="0" w:color="auto"/>
        <w:shd w:val="clear" w:color="auto" w:fill="auto"/>
        <w:vertAlign w:val="baseline"/>
      </w:rPr>
    </w:lvl>
    <w:lvl w:ilvl="1" w:tplc="66507216">
      <w:start w:val="1"/>
      <w:numFmt w:val="bullet"/>
      <w:lvlText w:val="o"/>
      <w:lvlJc w:val="left"/>
      <w:pPr>
        <w:ind w:left="1440"/>
      </w:pPr>
      <w:rPr>
        <w:rFonts w:ascii="Segoe UI Symbol" w:eastAsia="Segoe UI Symbol" w:hAnsi="Segoe UI Symbol" w:cs="Segoe UI Symbol"/>
        <w:b w:val="0"/>
        <w:i w:val="0"/>
        <w:strike w:val="0"/>
        <w:dstrike w:val="0"/>
        <w:color w:val="2F2F2F"/>
        <w:sz w:val="22"/>
        <w:szCs w:val="22"/>
        <w:u w:val="none" w:color="000000"/>
        <w:bdr w:val="none" w:sz="0" w:space="0" w:color="auto"/>
        <w:shd w:val="clear" w:color="auto" w:fill="auto"/>
        <w:vertAlign w:val="baseline"/>
      </w:rPr>
    </w:lvl>
    <w:lvl w:ilvl="2" w:tplc="569044A4">
      <w:start w:val="1"/>
      <w:numFmt w:val="bullet"/>
      <w:lvlText w:val="▪"/>
      <w:lvlJc w:val="left"/>
      <w:pPr>
        <w:ind w:left="2160"/>
      </w:pPr>
      <w:rPr>
        <w:rFonts w:ascii="Segoe UI Symbol" w:eastAsia="Segoe UI Symbol" w:hAnsi="Segoe UI Symbol" w:cs="Segoe UI Symbol"/>
        <w:b w:val="0"/>
        <w:i w:val="0"/>
        <w:strike w:val="0"/>
        <w:dstrike w:val="0"/>
        <w:color w:val="2F2F2F"/>
        <w:sz w:val="22"/>
        <w:szCs w:val="22"/>
        <w:u w:val="none" w:color="000000"/>
        <w:bdr w:val="none" w:sz="0" w:space="0" w:color="auto"/>
        <w:shd w:val="clear" w:color="auto" w:fill="auto"/>
        <w:vertAlign w:val="baseline"/>
      </w:rPr>
    </w:lvl>
    <w:lvl w:ilvl="3" w:tplc="B8A88E9C">
      <w:start w:val="1"/>
      <w:numFmt w:val="bullet"/>
      <w:lvlText w:val="•"/>
      <w:lvlJc w:val="left"/>
      <w:pPr>
        <w:ind w:left="2880"/>
      </w:pPr>
      <w:rPr>
        <w:rFonts w:ascii="Arial" w:eastAsia="Arial" w:hAnsi="Arial" w:cs="Arial"/>
        <w:b w:val="0"/>
        <w:i w:val="0"/>
        <w:strike w:val="0"/>
        <w:dstrike w:val="0"/>
        <w:color w:val="2F2F2F"/>
        <w:sz w:val="22"/>
        <w:szCs w:val="22"/>
        <w:u w:val="none" w:color="000000"/>
        <w:bdr w:val="none" w:sz="0" w:space="0" w:color="auto"/>
        <w:shd w:val="clear" w:color="auto" w:fill="auto"/>
        <w:vertAlign w:val="baseline"/>
      </w:rPr>
    </w:lvl>
    <w:lvl w:ilvl="4" w:tplc="9222BDEC">
      <w:start w:val="1"/>
      <w:numFmt w:val="bullet"/>
      <w:lvlText w:val="o"/>
      <w:lvlJc w:val="left"/>
      <w:pPr>
        <w:ind w:left="3600"/>
      </w:pPr>
      <w:rPr>
        <w:rFonts w:ascii="Segoe UI Symbol" w:eastAsia="Segoe UI Symbol" w:hAnsi="Segoe UI Symbol" w:cs="Segoe UI Symbol"/>
        <w:b w:val="0"/>
        <w:i w:val="0"/>
        <w:strike w:val="0"/>
        <w:dstrike w:val="0"/>
        <w:color w:val="2F2F2F"/>
        <w:sz w:val="22"/>
        <w:szCs w:val="22"/>
        <w:u w:val="none" w:color="000000"/>
        <w:bdr w:val="none" w:sz="0" w:space="0" w:color="auto"/>
        <w:shd w:val="clear" w:color="auto" w:fill="auto"/>
        <w:vertAlign w:val="baseline"/>
      </w:rPr>
    </w:lvl>
    <w:lvl w:ilvl="5" w:tplc="94702F58">
      <w:start w:val="1"/>
      <w:numFmt w:val="bullet"/>
      <w:lvlText w:val="▪"/>
      <w:lvlJc w:val="left"/>
      <w:pPr>
        <w:ind w:left="4320"/>
      </w:pPr>
      <w:rPr>
        <w:rFonts w:ascii="Segoe UI Symbol" w:eastAsia="Segoe UI Symbol" w:hAnsi="Segoe UI Symbol" w:cs="Segoe UI Symbol"/>
        <w:b w:val="0"/>
        <w:i w:val="0"/>
        <w:strike w:val="0"/>
        <w:dstrike w:val="0"/>
        <w:color w:val="2F2F2F"/>
        <w:sz w:val="22"/>
        <w:szCs w:val="22"/>
        <w:u w:val="none" w:color="000000"/>
        <w:bdr w:val="none" w:sz="0" w:space="0" w:color="auto"/>
        <w:shd w:val="clear" w:color="auto" w:fill="auto"/>
        <w:vertAlign w:val="baseline"/>
      </w:rPr>
    </w:lvl>
    <w:lvl w:ilvl="6" w:tplc="89342956">
      <w:start w:val="1"/>
      <w:numFmt w:val="bullet"/>
      <w:lvlText w:val="•"/>
      <w:lvlJc w:val="left"/>
      <w:pPr>
        <w:ind w:left="5040"/>
      </w:pPr>
      <w:rPr>
        <w:rFonts w:ascii="Arial" w:eastAsia="Arial" w:hAnsi="Arial" w:cs="Arial"/>
        <w:b w:val="0"/>
        <w:i w:val="0"/>
        <w:strike w:val="0"/>
        <w:dstrike w:val="0"/>
        <w:color w:val="2F2F2F"/>
        <w:sz w:val="22"/>
        <w:szCs w:val="22"/>
        <w:u w:val="none" w:color="000000"/>
        <w:bdr w:val="none" w:sz="0" w:space="0" w:color="auto"/>
        <w:shd w:val="clear" w:color="auto" w:fill="auto"/>
        <w:vertAlign w:val="baseline"/>
      </w:rPr>
    </w:lvl>
    <w:lvl w:ilvl="7" w:tplc="2A485E7C">
      <w:start w:val="1"/>
      <w:numFmt w:val="bullet"/>
      <w:lvlText w:val="o"/>
      <w:lvlJc w:val="left"/>
      <w:pPr>
        <w:ind w:left="5760"/>
      </w:pPr>
      <w:rPr>
        <w:rFonts w:ascii="Segoe UI Symbol" w:eastAsia="Segoe UI Symbol" w:hAnsi="Segoe UI Symbol" w:cs="Segoe UI Symbol"/>
        <w:b w:val="0"/>
        <w:i w:val="0"/>
        <w:strike w:val="0"/>
        <w:dstrike w:val="0"/>
        <w:color w:val="2F2F2F"/>
        <w:sz w:val="22"/>
        <w:szCs w:val="22"/>
        <w:u w:val="none" w:color="000000"/>
        <w:bdr w:val="none" w:sz="0" w:space="0" w:color="auto"/>
        <w:shd w:val="clear" w:color="auto" w:fill="auto"/>
        <w:vertAlign w:val="baseline"/>
      </w:rPr>
    </w:lvl>
    <w:lvl w:ilvl="8" w:tplc="45EE3942">
      <w:start w:val="1"/>
      <w:numFmt w:val="bullet"/>
      <w:lvlText w:val="▪"/>
      <w:lvlJc w:val="left"/>
      <w:pPr>
        <w:ind w:left="6480"/>
      </w:pPr>
      <w:rPr>
        <w:rFonts w:ascii="Segoe UI Symbol" w:eastAsia="Segoe UI Symbol" w:hAnsi="Segoe UI Symbol" w:cs="Segoe UI Symbol"/>
        <w:b w:val="0"/>
        <w:i w:val="0"/>
        <w:strike w:val="0"/>
        <w:dstrike w:val="0"/>
        <w:color w:val="2F2F2F"/>
        <w:sz w:val="22"/>
        <w:szCs w:val="22"/>
        <w:u w:val="none" w:color="000000"/>
        <w:bdr w:val="none" w:sz="0" w:space="0" w:color="auto"/>
        <w:shd w:val="clear" w:color="auto" w:fill="auto"/>
        <w:vertAlign w:val="baseline"/>
      </w:rPr>
    </w:lvl>
  </w:abstractNum>
  <w:abstractNum w:abstractNumId="1" w15:restartNumberingAfterBreak="0">
    <w:nsid w:val="153E2DE2"/>
    <w:multiLevelType w:val="multilevel"/>
    <w:tmpl w:val="FDAEA8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2149B"/>
    <w:multiLevelType w:val="hybridMultilevel"/>
    <w:tmpl w:val="412ECD82"/>
    <w:lvl w:ilvl="0" w:tplc="71DC6E04">
      <w:start w:val="1"/>
      <w:numFmt w:val="bullet"/>
      <w:lvlText w:val=""/>
      <w:lvlJc w:val="left"/>
      <w:pPr>
        <w:tabs>
          <w:tab w:val="num" w:pos="720"/>
        </w:tabs>
        <w:ind w:left="720" w:hanging="360"/>
      </w:pPr>
      <w:rPr>
        <w:rFonts w:ascii="Symbol" w:hAnsi="Symbol" w:hint="default"/>
      </w:rPr>
    </w:lvl>
    <w:lvl w:ilvl="1" w:tplc="F5B253A6" w:tentative="1">
      <w:start w:val="1"/>
      <w:numFmt w:val="bullet"/>
      <w:lvlText w:val=""/>
      <w:lvlJc w:val="left"/>
      <w:pPr>
        <w:tabs>
          <w:tab w:val="num" w:pos="1440"/>
        </w:tabs>
        <w:ind w:left="1440" w:hanging="360"/>
      </w:pPr>
      <w:rPr>
        <w:rFonts w:ascii="Symbol" w:hAnsi="Symbol" w:hint="default"/>
      </w:rPr>
    </w:lvl>
    <w:lvl w:ilvl="2" w:tplc="6E564B72" w:tentative="1">
      <w:start w:val="1"/>
      <w:numFmt w:val="bullet"/>
      <w:lvlText w:val=""/>
      <w:lvlJc w:val="left"/>
      <w:pPr>
        <w:tabs>
          <w:tab w:val="num" w:pos="2160"/>
        </w:tabs>
        <w:ind w:left="2160" w:hanging="360"/>
      </w:pPr>
      <w:rPr>
        <w:rFonts w:ascii="Symbol" w:hAnsi="Symbol" w:hint="default"/>
      </w:rPr>
    </w:lvl>
    <w:lvl w:ilvl="3" w:tplc="DF10EBEC" w:tentative="1">
      <w:start w:val="1"/>
      <w:numFmt w:val="bullet"/>
      <w:lvlText w:val=""/>
      <w:lvlJc w:val="left"/>
      <w:pPr>
        <w:tabs>
          <w:tab w:val="num" w:pos="2880"/>
        </w:tabs>
        <w:ind w:left="2880" w:hanging="360"/>
      </w:pPr>
      <w:rPr>
        <w:rFonts w:ascii="Symbol" w:hAnsi="Symbol" w:hint="default"/>
      </w:rPr>
    </w:lvl>
    <w:lvl w:ilvl="4" w:tplc="721E57B8" w:tentative="1">
      <w:start w:val="1"/>
      <w:numFmt w:val="bullet"/>
      <w:lvlText w:val=""/>
      <w:lvlJc w:val="left"/>
      <w:pPr>
        <w:tabs>
          <w:tab w:val="num" w:pos="3600"/>
        </w:tabs>
        <w:ind w:left="3600" w:hanging="360"/>
      </w:pPr>
      <w:rPr>
        <w:rFonts w:ascii="Symbol" w:hAnsi="Symbol" w:hint="default"/>
      </w:rPr>
    </w:lvl>
    <w:lvl w:ilvl="5" w:tplc="844826D8" w:tentative="1">
      <w:start w:val="1"/>
      <w:numFmt w:val="bullet"/>
      <w:lvlText w:val=""/>
      <w:lvlJc w:val="left"/>
      <w:pPr>
        <w:tabs>
          <w:tab w:val="num" w:pos="4320"/>
        </w:tabs>
        <w:ind w:left="4320" w:hanging="360"/>
      </w:pPr>
      <w:rPr>
        <w:rFonts w:ascii="Symbol" w:hAnsi="Symbol" w:hint="default"/>
      </w:rPr>
    </w:lvl>
    <w:lvl w:ilvl="6" w:tplc="98AC73F6" w:tentative="1">
      <w:start w:val="1"/>
      <w:numFmt w:val="bullet"/>
      <w:lvlText w:val=""/>
      <w:lvlJc w:val="left"/>
      <w:pPr>
        <w:tabs>
          <w:tab w:val="num" w:pos="5040"/>
        </w:tabs>
        <w:ind w:left="5040" w:hanging="360"/>
      </w:pPr>
      <w:rPr>
        <w:rFonts w:ascii="Symbol" w:hAnsi="Symbol" w:hint="default"/>
      </w:rPr>
    </w:lvl>
    <w:lvl w:ilvl="7" w:tplc="04405FF4" w:tentative="1">
      <w:start w:val="1"/>
      <w:numFmt w:val="bullet"/>
      <w:lvlText w:val=""/>
      <w:lvlJc w:val="left"/>
      <w:pPr>
        <w:tabs>
          <w:tab w:val="num" w:pos="5760"/>
        </w:tabs>
        <w:ind w:left="5760" w:hanging="360"/>
      </w:pPr>
      <w:rPr>
        <w:rFonts w:ascii="Symbol" w:hAnsi="Symbol" w:hint="default"/>
      </w:rPr>
    </w:lvl>
    <w:lvl w:ilvl="8" w:tplc="90D001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199763A"/>
    <w:multiLevelType w:val="hybridMultilevel"/>
    <w:tmpl w:val="C97C57F8"/>
    <w:lvl w:ilvl="0" w:tplc="2EB2E772">
      <w:start w:val="1"/>
      <w:numFmt w:val="bullet"/>
      <w:lvlText w:val=""/>
      <w:lvlJc w:val="left"/>
      <w:pPr>
        <w:tabs>
          <w:tab w:val="num" w:pos="720"/>
        </w:tabs>
        <w:ind w:left="720" w:hanging="360"/>
      </w:pPr>
      <w:rPr>
        <w:rFonts w:ascii="Symbol" w:hAnsi="Symbol" w:hint="default"/>
      </w:rPr>
    </w:lvl>
    <w:lvl w:ilvl="1" w:tplc="B972C6FC" w:tentative="1">
      <w:start w:val="1"/>
      <w:numFmt w:val="bullet"/>
      <w:lvlText w:val=""/>
      <w:lvlJc w:val="left"/>
      <w:pPr>
        <w:tabs>
          <w:tab w:val="num" w:pos="1440"/>
        </w:tabs>
        <w:ind w:left="1440" w:hanging="360"/>
      </w:pPr>
      <w:rPr>
        <w:rFonts w:ascii="Symbol" w:hAnsi="Symbol" w:hint="default"/>
      </w:rPr>
    </w:lvl>
    <w:lvl w:ilvl="2" w:tplc="56A8F86C" w:tentative="1">
      <w:start w:val="1"/>
      <w:numFmt w:val="bullet"/>
      <w:lvlText w:val=""/>
      <w:lvlJc w:val="left"/>
      <w:pPr>
        <w:tabs>
          <w:tab w:val="num" w:pos="2160"/>
        </w:tabs>
        <w:ind w:left="2160" w:hanging="360"/>
      </w:pPr>
      <w:rPr>
        <w:rFonts w:ascii="Symbol" w:hAnsi="Symbol" w:hint="default"/>
      </w:rPr>
    </w:lvl>
    <w:lvl w:ilvl="3" w:tplc="D23CE9DA" w:tentative="1">
      <w:start w:val="1"/>
      <w:numFmt w:val="bullet"/>
      <w:lvlText w:val=""/>
      <w:lvlJc w:val="left"/>
      <w:pPr>
        <w:tabs>
          <w:tab w:val="num" w:pos="2880"/>
        </w:tabs>
        <w:ind w:left="2880" w:hanging="360"/>
      </w:pPr>
      <w:rPr>
        <w:rFonts w:ascii="Symbol" w:hAnsi="Symbol" w:hint="default"/>
      </w:rPr>
    </w:lvl>
    <w:lvl w:ilvl="4" w:tplc="064628EC" w:tentative="1">
      <w:start w:val="1"/>
      <w:numFmt w:val="bullet"/>
      <w:lvlText w:val=""/>
      <w:lvlJc w:val="left"/>
      <w:pPr>
        <w:tabs>
          <w:tab w:val="num" w:pos="3600"/>
        </w:tabs>
        <w:ind w:left="3600" w:hanging="360"/>
      </w:pPr>
      <w:rPr>
        <w:rFonts w:ascii="Symbol" w:hAnsi="Symbol" w:hint="default"/>
      </w:rPr>
    </w:lvl>
    <w:lvl w:ilvl="5" w:tplc="7076E696" w:tentative="1">
      <w:start w:val="1"/>
      <w:numFmt w:val="bullet"/>
      <w:lvlText w:val=""/>
      <w:lvlJc w:val="left"/>
      <w:pPr>
        <w:tabs>
          <w:tab w:val="num" w:pos="4320"/>
        </w:tabs>
        <w:ind w:left="4320" w:hanging="360"/>
      </w:pPr>
      <w:rPr>
        <w:rFonts w:ascii="Symbol" w:hAnsi="Symbol" w:hint="default"/>
      </w:rPr>
    </w:lvl>
    <w:lvl w:ilvl="6" w:tplc="8C1A5910" w:tentative="1">
      <w:start w:val="1"/>
      <w:numFmt w:val="bullet"/>
      <w:lvlText w:val=""/>
      <w:lvlJc w:val="left"/>
      <w:pPr>
        <w:tabs>
          <w:tab w:val="num" w:pos="5040"/>
        </w:tabs>
        <w:ind w:left="5040" w:hanging="360"/>
      </w:pPr>
      <w:rPr>
        <w:rFonts w:ascii="Symbol" w:hAnsi="Symbol" w:hint="default"/>
      </w:rPr>
    </w:lvl>
    <w:lvl w:ilvl="7" w:tplc="2FD0B3E6" w:tentative="1">
      <w:start w:val="1"/>
      <w:numFmt w:val="bullet"/>
      <w:lvlText w:val=""/>
      <w:lvlJc w:val="left"/>
      <w:pPr>
        <w:tabs>
          <w:tab w:val="num" w:pos="5760"/>
        </w:tabs>
        <w:ind w:left="5760" w:hanging="360"/>
      </w:pPr>
      <w:rPr>
        <w:rFonts w:ascii="Symbol" w:hAnsi="Symbol" w:hint="default"/>
      </w:rPr>
    </w:lvl>
    <w:lvl w:ilvl="8" w:tplc="1A76731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6F0660"/>
    <w:multiLevelType w:val="hybridMultilevel"/>
    <w:tmpl w:val="86F87D60"/>
    <w:lvl w:ilvl="0" w:tplc="2906554A">
      <w:start w:val="1"/>
      <w:numFmt w:val="bullet"/>
      <w:lvlText w:val=""/>
      <w:lvlJc w:val="left"/>
      <w:pPr>
        <w:tabs>
          <w:tab w:val="num" w:pos="720"/>
        </w:tabs>
        <w:ind w:left="720" w:hanging="360"/>
      </w:pPr>
      <w:rPr>
        <w:rFonts w:ascii="Symbol" w:hAnsi="Symbol" w:hint="default"/>
      </w:rPr>
    </w:lvl>
    <w:lvl w:ilvl="1" w:tplc="6D26E5BA" w:tentative="1">
      <w:start w:val="1"/>
      <w:numFmt w:val="bullet"/>
      <w:lvlText w:val=""/>
      <w:lvlJc w:val="left"/>
      <w:pPr>
        <w:tabs>
          <w:tab w:val="num" w:pos="1440"/>
        </w:tabs>
        <w:ind w:left="1440" w:hanging="360"/>
      </w:pPr>
      <w:rPr>
        <w:rFonts w:ascii="Symbol" w:hAnsi="Symbol" w:hint="default"/>
      </w:rPr>
    </w:lvl>
    <w:lvl w:ilvl="2" w:tplc="970AF72C" w:tentative="1">
      <w:start w:val="1"/>
      <w:numFmt w:val="bullet"/>
      <w:lvlText w:val=""/>
      <w:lvlJc w:val="left"/>
      <w:pPr>
        <w:tabs>
          <w:tab w:val="num" w:pos="2160"/>
        </w:tabs>
        <w:ind w:left="2160" w:hanging="360"/>
      </w:pPr>
      <w:rPr>
        <w:rFonts w:ascii="Symbol" w:hAnsi="Symbol" w:hint="default"/>
      </w:rPr>
    </w:lvl>
    <w:lvl w:ilvl="3" w:tplc="DF044032" w:tentative="1">
      <w:start w:val="1"/>
      <w:numFmt w:val="bullet"/>
      <w:lvlText w:val=""/>
      <w:lvlJc w:val="left"/>
      <w:pPr>
        <w:tabs>
          <w:tab w:val="num" w:pos="2880"/>
        </w:tabs>
        <w:ind w:left="2880" w:hanging="360"/>
      </w:pPr>
      <w:rPr>
        <w:rFonts w:ascii="Symbol" w:hAnsi="Symbol" w:hint="default"/>
      </w:rPr>
    </w:lvl>
    <w:lvl w:ilvl="4" w:tplc="1E6C7542" w:tentative="1">
      <w:start w:val="1"/>
      <w:numFmt w:val="bullet"/>
      <w:lvlText w:val=""/>
      <w:lvlJc w:val="left"/>
      <w:pPr>
        <w:tabs>
          <w:tab w:val="num" w:pos="3600"/>
        </w:tabs>
        <w:ind w:left="3600" w:hanging="360"/>
      </w:pPr>
      <w:rPr>
        <w:rFonts w:ascii="Symbol" w:hAnsi="Symbol" w:hint="default"/>
      </w:rPr>
    </w:lvl>
    <w:lvl w:ilvl="5" w:tplc="F70E7B90" w:tentative="1">
      <w:start w:val="1"/>
      <w:numFmt w:val="bullet"/>
      <w:lvlText w:val=""/>
      <w:lvlJc w:val="left"/>
      <w:pPr>
        <w:tabs>
          <w:tab w:val="num" w:pos="4320"/>
        </w:tabs>
        <w:ind w:left="4320" w:hanging="360"/>
      </w:pPr>
      <w:rPr>
        <w:rFonts w:ascii="Symbol" w:hAnsi="Symbol" w:hint="default"/>
      </w:rPr>
    </w:lvl>
    <w:lvl w:ilvl="6" w:tplc="ACC6B932" w:tentative="1">
      <w:start w:val="1"/>
      <w:numFmt w:val="bullet"/>
      <w:lvlText w:val=""/>
      <w:lvlJc w:val="left"/>
      <w:pPr>
        <w:tabs>
          <w:tab w:val="num" w:pos="5040"/>
        </w:tabs>
        <w:ind w:left="5040" w:hanging="360"/>
      </w:pPr>
      <w:rPr>
        <w:rFonts w:ascii="Symbol" w:hAnsi="Symbol" w:hint="default"/>
      </w:rPr>
    </w:lvl>
    <w:lvl w:ilvl="7" w:tplc="5246B602" w:tentative="1">
      <w:start w:val="1"/>
      <w:numFmt w:val="bullet"/>
      <w:lvlText w:val=""/>
      <w:lvlJc w:val="left"/>
      <w:pPr>
        <w:tabs>
          <w:tab w:val="num" w:pos="5760"/>
        </w:tabs>
        <w:ind w:left="5760" w:hanging="360"/>
      </w:pPr>
      <w:rPr>
        <w:rFonts w:ascii="Symbol" w:hAnsi="Symbol" w:hint="default"/>
      </w:rPr>
    </w:lvl>
    <w:lvl w:ilvl="8" w:tplc="131451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7451DC1"/>
    <w:multiLevelType w:val="hybridMultilevel"/>
    <w:tmpl w:val="576C5CB2"/>
    <w:lvl w:ilvl="0" w:tplc="8D602758">
      <w:start w:val="1"/>
      <w:numFmt w:val="bullet"/>
      <w:lvlText w:val=""/>
      <w:lvlJc w:val="left"/>
      <w:pPr>
        <w:tabs>
          <w:tab w:val="num" w:pos="720"/>
        </w:tabs>
        <w:ind w:left="720" w:hanging="360"/>
      </w:pPr>
      <w:rPr>
        <w:rFonts w:ascii="Symbol" w:hAnsi="Symbol" w:hint="default"/>
      </w:rPr>
    </w:lvl>
    <w:lvl w:ilvl="1" w:tplc="A94EBDE0" w:tentative="1">
      <w:start w:val="1"/>
      <w:numFmt w:val="bullet"/>
      <w:lvlText w:val=""/>
      <w:lvlJc w:val="left"/>
      <w:pPr>
        <w:tabs>
          <w:tab w:val="num" w:pos="1440"/>
        </w:tabs>
        <w:ind w:left="1440" w:hanging="360"/>
      </w:pPr>
      <w:rPr>
        <w:rFonts w:ascii="Symbol" w:hAnsi="Symbol" w:hint="default"/>
      </w:rPr>
    </w:lvl>
    <w:lvl w:ilvl="2" w:tplc="E39EE226" w:tentative="1">
      <w:start w:val="1"/>
      <w:numFmt w:val="bullet"/>
      <w:lvlText w:val=""/>
      <w:lvlJc w:val="left"/>
      <w:pPr>
        <w:tabs>
          <w:tab w:val="num" w:pos="2160"/>
        </w:tabs>
        <w:ind w:left="2160" w:hanging="360"/>
      </w:pPr>
      <w:rPr>
        <w:rFonts w:ascii="Symbol" w:hAnsi="Symbol" w:hint="default"/>
      </w:rPr>
    </w:lvl>
    <w:lvl w:ilvl="3" w:tplc="55B4686A" w:tentative="1">
      <w:start w:val="1"/>
      <w:numFmt w:val="bullet"/>
      <w:lvlText w:val=""/>
      <w:lvlJc w:val="left"/>
      <w:pPr>
        <w:tabs>
          <w:tab w:val="num" w:pos="2880"/>
        </w:tabs>
        <w:ind w:left="2880" w:hanging="360"/>
      </w:pPr>
      <w:rPr>
        <w:rFonts w:ascii="Symbol" w:hAnsi="Symbol" w:hint="default"/>
      </w:rPr>
    </w:lvl>
    <w:lvl w:ilvl="4" w:tplc="0F5EF5B0" w:tentative="1">
      <w:start w:val="1"/>
      <w:numFmt w:val="bullet"/>
      <w:lvlText w:val=""/>
      <w:lvlJc w:val="left"/>
      <w:pPr>
        <w:tabs>
          <w:tab w:val="num" w:pos="3600"/>
        </w:tabs>
        <w:ind w:left="3600" w:hanging="360"/>
      </w:pPr>
      <w:rPr>
        <w:rFonts w:ascii="Symbol" w:hAnsi="Symbol" w:hint="default"/>
      </w:rPr>
    </w:lvl>
    <w:lvl w:ilvl="5" w:tplc="04D6EE48" w:tentative="1">
      <w:start w:val="1"/>
      <w:numFmt w:val="bullet"/>
      <w:lvlText w:val=""/>
      <w:lvlJc w:val="left"/>
      <w:pPr>
        <w:tabs>
          <w:tab w:val="num" w:pos="4320"/>
        </w:tabs>
        <w:ind w:left="4320" w:hanging="360"/>
      </w:pPr>
      <w:rPr>
        <w:rFonts w:ascii="Symbol" w:hAnsi="Symbol" w:hint="default"/>
      </w:rPr>
    </w:lvl>
    <w:lvl w:ilvl="6" w:tplc="D376FE4C" w:tentative="1">
      <w:start w:val="1"/>
      <w:numFmt w:val="bullet"/>
      <w:lvlText w:val=""/>
      <w:lvlJc w:val="left"/>
      <w:pPr>
        <w:tabs>
          <w:tab w:val="num" w:pos="5040"/>
        </w:tabs>
        <w:ind w:left="5040" w:hanging="360"/>
      </w:pPr>
      <w:rPr>
        <w:rFonts w:ascii="Symbol" w:hAnsi="Symbol" w:hint="default"/>
      </w:rPr>
    </w:lvl>
    <w:lvl w:ilvl="7" w:tplc="5CE8A622" w:tentative="1">
      <w:start w:val="1"/>
      <w:numFmt w:val="bullet"/>
      <w:lvlText w:val=""/>
      <w:lvlJc w:val="left"/>
      <w:pPr>
        <w:tabs>
          <w:tab w:val="num" w:pos="5760"/>
        </w:tabs>
        <w:ind w:left="5760" w:hanging="360"/>
      </w:pPr>
      <w:rPr>
        <w:rFonts w:ascii="Symbol" w:hAnsi="Symbol" w:hint="default"/>
      </w:rPr>
    </w:lvl>
    <w:lvl w:ilvl="8" w:tplc="E7880CC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4176C23"/>
    <w:multiLevelType w:val="hybridMultilevel"/>
    <w:tmpl w:val="7DC2106E"/>
    <w:lvl w:ilvl="0" w:tplc="C578FF16">
      <w:start w:val="1"/>
      <w:numFmt w:val="bullet"/>
      <w:lvlText w:val=""/>
      <w:lvlJc w:val="left"/>
      <w:pPr>
        <w:tabs>
          <w:tab w:val="num" w:pos="346"/>
        </w:tabs>
        <w:ind w:left="346" w:hanging="360"/>
      </w:pPr>
      <w:rPr>
        <w:rFonts w:ascii="Symbol" w:hAnsi="Symbol" w:hint="default"/>
      </w:rPr>
    </w:lvl>
    <w:lvl w:ilvl="1" w:tplc="BDE20888" w:tentative="1">
      <w:start w:val="1"/>
      <w:numFmt w:val="bullet"/>
      <w:lvlText w:val=""/>
      <w:lvlJc w:val="left"/>
      <w:pPr>
        <w:tabs>
          <w:tab w:val="num" w:pos="1066"/>
        </w:tabs>
        <w:ind w:left="1066" w:hanging="360"/>
      </w:pPr>
      <w:rPr>
        <w:rFonts w:ascii="Symbol" w:hAnsi="Symbol" w:hint="default"/>
      </w:rPr>
    </w:lvl>
    <w:lvl w:ilvl="2" w:tplc="CC70813C" w:tentative="1">
      <w:start w:val="1"/>
      <w:numFmt w:val="bullet"/>
      <w:lvlText w:val=""/>
      <w:lvlJc w:val="left"/>
      <w:pPr>
        <w:tabs>
          <w:tab w:val="num" w:pos="1786"/>
        </w:tabs>
        <w:ind w:left="1786" w:hanging="360"/>
      </w:pPr>
      <w:rPr>
        <w:rFonts w:ascii="Symbol" w:hAnsi="Symbol" w:hint="default"/>
      </w:rPr>
    </w:lvl>
    <w:lvl w:ilvl="3" w:tplc="3BA8190C" w:tentative="1">
      <w:start w:val="1"/>
      <w:numFmt w:val="bullet"/>
      <w:lvlText w:val=""/>
      <w:lvlJc w:val="left"/>
      <w:pPr>
        <w:tabs>
          <w:tab w:val="num" w:pos="2506"/>
        </w:tabs>
        <w:ind w:left="2506" w:hanging="360"/>
      </w:pPr>
      <w:rPr>
        <w:rFonts w:ascii="Symbol" w:hAnsi="Symbol" w:hint="default"/>
      </w:rPr>
    </w:lvl>
    <w:lvl w:ilvl="4" w:tplc="3F5E70E2" w:tentative="1">
      <w:start w:val="1"/>
      <w:numFmt w:val="bullet"/>
      <w:lvlText w:val=""/>
      <w:lvlJc w:val="left"/>
      <w:pPr>
        <w:tabs>
          <w:tab w:val="num" w:pos="3226"/>
        </w:tabs>
        <w:ind w:left="3226" w:hanging="360"/>
      </w:pPr>
      <w:rPr>
        <w:rFonts w:ascii="Symbol" w:hAnsi="Symbol" w:hint="default"/>
      </w:rPr>
    </w:lvl>
    <w:lvl w:ilvl="5" w:tplc="2DDCCC04" w:tentative="1">
      <w:start w:val="1"/>
      <w:numFmt w:val="bullet"/>
      <w:lvlText w:val=""/>
      <w:lvlJc w:val="left"/>
      <w:pPr>
        <w:tabs>
          <w:tab w:val="num" w:pos="3946"/>
        </w:tabs>
        <w:ind w:left="3946" w:hanging="360"/>
      </w:pPr>
      <w:rPr>
        <w:rFonts w:ascii="Symbol" w:hAnsi="Symbol" w:hint="default"/>
      </w:rPr>
    </w:lvl>
    <w:lvl w:ilvl="6" w:tplc="3E083B2C" w:tentative="1">
      <w:start w:val="1"/>
      <w:numFmt w:val="bullet"/>
      <w:lvlText w:val=""/>
      <w:lvlJc w:val="left"/>
      <w:pPr>
        <w:tabs>
          <w:tab w:val="num" w:pos="4666"/>
        </w:tabs>
        <w:ind w:left="4666" w:hanging="360"/>
      </w:pPr>
      <w:rPr>
        <w:rFonts w:ascii="Symbol" w:hAnsi="Symbol" w:hint="default"/>
      </w:rPr>
    </w:lvl>
    <w:lvl w:ilvl="7" w:tplc="722A3382" w:tentative="1">
      <w:start w:val="1"/>
      <w:numFmt w:val="bullet"/>
      <w:lvlText w:val=""/>
      <w:lvlJc w:val="left"/>
      <w:pPr>
        <w:tabs>
          <w:tab w:val="num" w:pos="5386"/>
        </w:tabs>
        <w:ind w:left="5386" w:hanging="360"/>
      </w:pPr>
      <w:rPr>
        <w:rFonts w:ascii="Symbol" w:hAnsi="Symbol" w:hint="default"/>
      </w:rPr>
    </w:lvl>
    <w:lvl w:ilvl="8" w:tplc="5B0C7282" w:tentative="1">
      <w:start w:val="1"/>
      <w:numFmt w:val="bullet"/>
      <w:lvlText w:val=""/>
      <w:lvlJc w:val="left"/>
      <w:pPr>
        <w:tabs>
          <w:tab w:val="num" w:pos="6106"/>
        </w:tabs>
        <w:ind w:left="6106" w:hanging="360"/>
      </w:pPr>
      <w:rPr>
        <w:rFonts w:ascii="Symbol" w:hAnsi="Symbol" w:hint="default"/>
      </w:rPr>
    </w:lvl>
  </w:abstractNum>
  <w:abstractNum w:abstractNumId="7" w15:restartNumberingAfterBreak="0">
    <w:nsid w:val="7F7201ED"/>
    <w:multiLevelType w:val="hybridMultilevel"/>
    <w:tmpl w:val="FA8218E8"/>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8" w15:restartNumberingAfterBreak="0">
    <w:nsid w:val="7FB758CA"/>
    <w:multiLevelType w:val="hybridMultilevel"/>
    <w:tmpl w:val="028C1452"/>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76"/>
    <w:rsid w:val="000E453B"/>
    <w:rsid w:val="00105851"/>
    <w:rsid w:val="001C2372"/>
    <w:rsid w:val="00224B28"/>
    <w:rsid w:val="002644AC"/>
    <w:rsid w:val="00315851"/>
    <w:rsid w:val="00373CB3"/>
    <w:rsid w:val="0037799C"/>
    <w:rsid w:val="003E0179"/>
    <w:rsid w:val="004C068E"/>
    <w:rsid w:val="00523F29"/>
    <w:rsid w:val="00597B76"/>
    <w:rsid w:val="005B5590"/>
    <w:rsid w:val="005E4D76"/>
    <w:rsid w:val="007B38A2"/>
    <w:rsid w:val="007E6FA5"/>
    <w:rsid w:val="007F3317"/>
    <w:rsid w:val="00842B06"/>
    <w:rsid w:val="008528B4"/>
    <w:rsid w:val="00870010"/>
    <w:rsid w:val="008B26D3"/>
    <w:rsid w:val="009847EF"/>
    <w:rsid w:val="009A618E"/>
    <w:rsid w:val="009A61C2"/>
    <w:rsid w:val="009C0B0E"/>
    <w:rsid w:val="009D0A35"/>
    <w:rsid w:val="00A529B9"/>
    <w:rsid w:val="00B62D6F"/>
    <w:rsid w:val="00BA18C7"/>
    <w:rsid w:val="00BE4069"/>
    <w:rsid w:val="00BE7242"/>
    <w:rsid w:val="00C1057B"/>
    <w:rsid w:val="00C571FB"/>
    <w:rsid w:val="00CC6927"/>
    <w:rsid w:val="00CF7624"/>
    <w:rsid w:val="00D543FD"/>
    <w:rsid w:val="00D87CCA"/>
    <w:rsid w:val="00E74BCA"/>
    <w:rsid w:val="00F33786"/>
    <w:rsid w:val="00F57B40"/>
    <w:rsid w:val="00FA1D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340F"/>
  <w15:chartTrackingRefBased/>
  <w15:docId w15:val="{72AB7300-58B5-4DB5-94BA-F2675B86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76"/>
    <w:pPr>
      <w:spacing w:after="49" w:line="253" w:lineRule="auto"/>
      <w:ind w:left="12" w:hanging="10"/>
    </w:pPr>
    <w:rPr>
      <w:rFonts w:ascii="Calibri" w:eastAsia="Calibri" w:hAnsi="Calibri" w:cs="Calibri"/>
      <w:color w:val="000000"/>
      <w:lang w:eastAsia="en-CA"/>
    </w:rPr>
  </w:style>
  <w:style w:type="paragraph" w:styleId="Heading1">
    <w:name w:val="heading 1"/>
    <w:basedOn w:val="Normal"/>
    <w:next w:val="Normal"/>
    <w:link w:val="Heading1Char"/>
    <w:uiPriority w:val="9"/>
    <w:qFormat/>
    <w:rsid w:val="005E4D76"/>
    <w:pPr>
      <w:shd w:val="clear" w:color="auto" w:fill="0673A4"/>
      <w:spacing w:after="183" w:line="262" w:lineRule="auto"/>
      <w:ind w:left="0" w:firstLine="0"/>
      <w:outlineLvl w:val="0"/>
    </w:pPr>
    <w:rPr>
      <w:rFonts w:ascii="Corbel" w:eastAsia="Corbel" w:hAnsi="Corbel" w:cstheme="minorHAns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D76"/>
    <w:rPr>
      <w:rFonts w:ascii="Corbel" w:eastAsia="Corbel" w:hAnsi="Corbel" w:cstheme="minorHAnsi"/>
      <w:color w:val="FFFFFF" w:themeColor="background1"/>
      <w:shd w:val="clear" w:color="auto" w:fill="0673A4"/>
      <w:lang w:eastAsia="en-CA"/>
    </w:rPr>
  </w:style>
  <w:style w:type="character" w:styleId="CommentReference">
    <w:name w:val="annotation reference"/>
    <w:basedOn w:val="DefaultParagraphFont"/>
    <w:uiPriority w:val="99"/>
    <w:semiHidden/>
    <w:unhideWhenUsed/>
    <w:rsid w:val="009D0A35"/>
    <w:rPr>
      <w:sz w:val="16"/>
      <w:szCs w:val="16"/>
    </w:rPr>
  </w:style>
  <w:style w:type="paragraph" w:styleId="CommentText">
    <w:name w:val="annotation text"/>
    <w:basedOn w:val="Normal"/>
    <w:link w:val="CommentTextChar"/>
    <w:uiPriority w:val="99"/>
    <w:semiHidden/>
    <w:unhideWhenUsed/>
    <w:rsid w:val="009D0A35"/>
    <w:pPr>
      <w:spacing w:line="240" w:lineRule="auto"/>
    </w:pPr>
    <w:rPr>
      <w:sz w:val="20"/>
      <w:szCs w:val="20"/>
    </w:rPr>
  </w:style>
  <w:style w:type="character" w:customStyle="1" w:styleId="CommentTextChar">
    <w:name w:val="Comment Text Char"/>
    <w:basedOn w:val="DefaultParagraphFont"/>
    <w:link w:val="CommentText"/>
    <w:uiPriority w:val="99"/>
    <w:semiHidden/>
    <w:rsid w:val="009D0A35"/>
    <w:rPr>
      <w:rFonts w:ascii="Calibri" w:eastAsia="Calibri" w:hAnsi="Calibri" w:cs="Calibri"/>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9D0A35"/>
    <w:rPr>
      <w:b/>
      <w:bCs/>
    </w:rPr>
  </w:style>
  <w:style w:type="character" w:customStyle="1" w:styleId="CommentSubjectChar">
    <w:name w:val="Comment Subject Char"/>
    <w:basedOn w:val="CommentTextChar"/>
    <w:link w:val="CommentSubject"/>
    <w:uiPriority w:val="99"/>
    <w:semiHidden/>
    <w:rsid w:val="009D0A35"/>
    <w:rPr>
      <w:rFonts w:ascii="Calibri" w:eastAsia="Calibri" w:hAnsi="Calibri" w:cs="Calibri"/>
      <w:b/>
      <w:bCs/>
      <w:color w:val="000000"/>
      <w:sz w:val="20"/>
      <w:szCs w:val="20"/>
      <w:lang w:eastAsia="en-CA"/>
    </w:rPr>
  </w:style>
  <w:style w:type="paragraph" w:styleId="NormalWeb">
    <w:name w:val="Normal (Web)"/>
    <w:basedOn w:val="Normal"/>
    <w:uiPriority w:val="99"/>
    <w:semiHidden/>
    <w:unhideWhenUsed/>
    <w:rsid w:val="001C2372"/>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US" w:eastAsia="en-US"/>
    </w:rPr>
  </w:style>
  <w:style w:type="character" w:styleId="Emphasis">
    <w:name w:val="Emphasis"/>
    <w:basedOn w:val="DefaultParagraphFont"/>
    <w:uiPriority w:val="20"/>
    <w:qFormat/>
    <w:rsid w:val="001C2372"/>
    <w:rPr>
      <w:i/>
      <w:iCs/>
    </w:rPr>
  </w:style>
  <w:style w:type="paragraph" w:styleId="Revision">
    <w:name w:val="Revision"/>
    <w:hidden/>
    <w:uiPriority w:val="99"/>
    <w:semiHidden/>
    <w:rsid w:val="002644AC"/>
    <w:pPr>
      <w:spacing w:after="0" w:line="240" w:lineRule="auto"/>
    </w:pPr>
    <w:rPr>
      <w:rFonts w:ascii="Calibri" w:eastAsia="Calibri" w:hAnsi="Calibri" w:cs="Calibri"/>
      <w:color w:val="000000"/>
      <w:lang w:eastAsia="en-CA"/>
    </w:rPr>
  </w:style>
  <w:style w:type="paragraph" w:styleId="BalloonText">
    <w:name w:val="Balloon Text"/>
    <w:basedOn w:val="Normal"/>
    <w:link w:val="BalloonTextChar"/>
    <w:uiPriority w:val="99"/>
    <w:semiHidden/>
    <w:unhideWhenUsed/>
    <w:rsid w:val="00BA1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8C7"/>
    <w:rPr>
      <w:rFonts w:ascii="Segoe UI" w:eastAsia="Calibri" w:hAnsi="Segoe UI" w:cs="Segoe UI"/>
      <w:color w:val="000000"/>
      <w:sz w:val="18"/>
      <w:szCs w:val="18"/>
      <w:lang w:eastAsia="en-CA"/>
    </w:rPr>
  </w:style>
  <w:style w:type="paragraph" w:styleId="ListParagraph">
    <w:name w:val="List Paragraph"/>
    <w:basedOn w:val="Normal"/>
    <w:uiPriority w:val="34"/>
    <w:qFormat/>
    <w:rsid w:val="0098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1579">
      <w:bodyDiv w:val="1"/>
      <w:marLeft w:val="0"/>
      <w:marRight w:val="0"/>
      <w:marTop w:val="0"/>
      <w:marBottom w:val="0"/>
      <w:divBdr>
        <w:top w:val="none" w:sz="0" w:space="0" w:color="auto"/>
        <w:left w:val="none" w:sz="0" w:space="0" w:color="auto"/>
        <w:bottom w:val="none" w:sz="0" w:space="0" w:color="auto"/>
        <w:right w:val="none" w:sz="0" w:space="0" w:color="auto"/>
      </w:divBdr>
    </w:div>
    <w:div w:id="146435059">
      <w:bodyDiv w:val="1"/>
      <w:marLeft w:val="0"/>
      <w:marRight w:val="0"/>
      <w:marTop w:val="0"/>
      <w:marBottom w:val="0"/>
      <w:divBdr>
        <w:top w:val="none" w:sz="0" w:space="0" w:color="auto"/>
        <w:left w:val="none" w:sz="0" w:space="0" w:color="auto"/>
        <w:bottom w:val="none" w:sz="0" w:space="0" w:color="auto"/>
        <w:right w:val="none" w:sz="0" w:space="0" w:color="auto"/>
      </w:divBdr>
      <w:divsChild>
        <w:div w:id="543759830">
          <w:marLeft w:val="547"/>
          <w:marRight w:val="0"/>
          <w:marTop w:val="0"/>
          <w:marBottom w:val="0"/>
          <w:divBdr>
            <w:top w:val="none" w:sz="0" w:space="0" w:color="auto"/>
            <w:left w:val="none" w:sz="0" w:space="0" w:color="auto"/>
            <w:bottom w:val="none" w:sz="0" w:space="0" w:color="auto"/>
            <w:right w:val="none" w:sz="0" w:space="0" w:color="auto"/>
          </w:divBdr>
        </w:div>
        <w:div w:id="324557165">
          <w:marLeft w:val="547"/>
          <w:marRight w:val="0"/>
          <w:marTop w:val="0"/>
          <w:marBottom w:val="0"/>
          <w:divBdr>
            <w:top w:val="none" w:sz="0" w:space="0" w:color="auto"/>
            <w:left w:val="none" w:sz="0" w:space="0" w:color="auto"/>
            <w:bottom w:val="none" w:sz="0" w:space="0" w:color="auto"/>
            <w:right w:val="none" w:sz="0" w:space="0" w:color="auto"/>
          </w:divBdr>
        </w:div>
        <w:div w:id="1209804490">
          <w:marLeft w:val="547"/>
          <w:marRight w:val="0"/>
          <w:marTop w:val="0"/>
          <w:marBottom w:val="0"/>
          <w:divBdr>
            <w:top w:val="none" w:sz="0" w:space="0" w:color="auto"/>
            <w:left w:val="none" w:sz="0" w:space="0" w:color="auto"/>
            <w:bottom w:val="none" w:sz="0" w:space="0" w:color="auto"/>
            <w:right w:val="none" w:sz="0" w:space="0" w:color="auto"/>
          </w:divBdr>
        </w:div>
        <w:div w:id="185558443">
          <w:marLeft w:val="547"/>
          <w:marRight w:val="0"/>
          <w:marTop w:val="0"/>
          <w:marBottom w:val="0"/>
          <w:divBdr>
            <w:top w:val="none" w:sz="0" w:space="0" w:color="auto"/>
            <w:left w:val="none" w:sz="0" w:space="0" w:color="auto"/>
            <w:bottom w:val="none" w:sz="0" w:space="0" w:color="auto"/>
            <w:right w:val="none" w:sz="0" w:space="0" w:color="auto"/>
          </w:divBdr>
        </w:div>
        <w:div w:id="1765032368">
          <w:marLeft w:val="547"/>
          <w:marRight w:val="0"/>
          <w:marTop w:val="0"/>
          <w:marBottom w:val="0"/>
          <w:divBdr>
            <w:top w:val="none" w:sz="0" w:space="0" w:color="auto"/>
            <w:left w:val="none" w:sz="0" w:space="0" w:color="auto"/>
            <w:bottom w:val="none" w:sz="0" w:space="0" w:color="auto"/>
            <w:right w:val="none" w:sz="0" w:space="0" w:color="auto"/>
          </w:divBdr>
        </w:div>
        <w:div w:id="946349623">
          <w:marLeft w:val="547"/>
          <w:marRight w:val="0"/>
          <w:marTop w:val="0"/>
          <w:marBottom w:val="0"/>
          <w:divBdr>
            <w:top w:val="none" w:sz="0" w:space="0" w:color="auto"/>
            <w:left w:val="none" w:sz="0" w:space="0" w:color="auto"/>
            <w:bottom w:val="none" w:sz="0" w:space="0" w:color="auto"/>
            <w:right w:val="none" w:sz="0" w:space="0" w:color="auto"/>
          </w:divBdr>
        </w:div>
        <w:div w:id="1952932869">
          <w:marLeft w:val="547"/>
          <w:marRight w:val="0"/>
          <w:marTop w:val="0"/>
          <w:marBottom w:val="0"/>
          <w:divBdr>
            <w:top w:val="none" w:sz="0" w:space="0" w:color="auto"/>
            <w:left w:val="none" w:sz="0" w:space="0" w:color="auto"/>
            <w:bottom w:val="none" w:sz="0" w:space="0" w:color="auto"/>
            <w:right w:val="none" w:sz="0" w:space="0" w:color="auto"/>
          </w:divBdr>
        </w:div>
        <w:div w:id="845822642">
          <w:marLeft w:val="547"/>
          <w:marRight w:val="0"/>
          <w:marTop w:val="0"/>
          <w:marBottom w:val="0"/>
          <w:divBdr>
            <w:top w:val="none" w:sz="0" w:space="0" w:color="auto"/>
            <w:left w:val="none" w:sz="0" w:space="0" w:color="auto"/>
            <w:bottom w:val="none" w:sz="0" w:space="0" w:color="auto"/>
            <w:right w:val="none" w:sz="0" w:space="0" w:color="auto"/>
          </w:divBdr>
        </w:div>
        <w:div w:id="854997800">
          <w:marLeft w:val="547"/>
          <w:marRight w:val="0"/>
          <w:marTop w:val="0"/>
          <w:marBottom w:val="0"/>
          <w:divBdr>
            <w:top w:val="none" w:sz="0" w:space="0" w:color="auto"/>
            <w:left w:val="none" w:sz="0" w:space="0" w:color="auto"/>
            <w:bottom w:val="none" w:sz="0" w:space="0" w:color="auto"/>
            <w:right w:val="none" w:sz="0" w:space="0" w:color="auto"/>
          </w:divBdr>
        </w:div>
        <w:div w:id="835388484">
          <w:marLeft w:val="547"/>
          <w:marRight w:val="0"/>
          <w:marTop w:val="0"/>
          <w:marBottom w:val="0"/>
          <w:divBdr>
            <w:top w:val="none" w:sz="0" w:space="0" w:color="auto"/>
            <w:left w:val="none" w:sz="0" w:space="0" w:color="auto"/>
            <w:bottom w:val="none" w:sz="0" w:space="0" w:color="auto"/>
            <w:right w:val="none" w:sz="0" w:space="0" w:color="auto"/>
          </w:divBdr>
        </w:div>
        <w:div w:id="365645916">
          <w:marLeft w:val="547"/>
          <w:marRight w:val="0"/>
          <w:marTop w:val="0"/>
          <w:marBottom w:val="0"/>
          <w:divBdr>
            <w:top w:val="none" w:sz="0" w:space="0" w:color="auto"/>
            <w:left w:val="none" w:sz="0" w:space="0" w:color="auto"/>
            <w:bottom w:val="none" w:sz="0" w:space="0" w:color="auto"/>
            <w:right w:val="none" w:sz="0" w:space="0" w:color="auto"/>
          </w:divBdr>
        </w:div>
        <w:div w:id="687678206">
          <w:marLeft w:val="547"/>
          <w:marRight w:val="0"/>
          <w:marTop w:val="0"/>
          <w:marBottom w:val="0"/>
          <w:divBdr>
            <w:top w:val="none" w:sz="0" w:space="0" w:color="auto"/>
            <w:left w:val="none" w:sz="0" w:space="0" w:color="auto"/>
            <w:bottom w:val="none" w:sz="0" w:space="0" w:color="auto"/>
            <w:right w:val="none" w:sz="0" w:space="0" w:color="auto"/>
          </w:divBdr>
        </w:div>
        <w:div w:id="2140760755">
          <w:marLeft w:val="547"/>
          <w:marRight w:val="0"/>
          <w:marTop w:val="0"/>
          <w:marBottom w:val="0"/>
          <w:divBdr>
            <w:top w:val="none" w:sz="0" w:space="0" w:color="auto"/>
            <w:left w:val="none" w:sz="0" w:space="0" w:color="auto"/>
            <w:bottom w:val="none" w:sz="0" w:space="0" w:color="auto"/>
            <w:right w:val="none" w:sz="0" w:space="0" w:color="auto"/>
          </w:divBdr>
        </w:div>
        <w:div w:id="1373188574">
          <w:marLeft w:val="547"/>
          <w:marRight w:val="0"/>
          <w:marTop w:val="0"/>
          <w:marBottom w:val="0"/>
          <w:divBdr>
            <w:top w:val="none" w:sz="0" w:space="0" w:color="auto"/>
            <w:left w:val="none" w:sz="0" w:space="0" w:color="auto"/>
            <w:bottom w:val="none" w:sz="0" w:space="0" w:color="auto"/>
            <w:right w:val="none" w:sz="0" w:space="0" w:color="auto"/>
          </w:divBdr>
        </w:div>
        <w:div w:id="1006908285">
          <w:marLeft w:val="547"/>
          <w:marRight w:val="0"/>
          <w:marTop w:val="0"/>
          <w:marBottom w:val="0"/>
          <w:divBdr>
            <w:top w:val="none" w:sz="0" w:space="0" w:color="auto"/>
            <w:left w:val="none" w:sz="0" w:space="0" w:color="auto"/>
            <w:bottom w:val="none" w:sz="0" w:space="0" w:color="auto"/>
            <w:right w:val="none" w:sz="0" w:space="0" w:color="auto"/>
          </w:divBdr>
        </w:div>
        <w:div w:id="1049954540">
          <w:marLeft w:val="547"/>
          <w:marRight w:val="0"/>
          <w:marTop w:val="0"/>
          <w:marBottom w:val="0"/>
          <w:divBdr>
            <w:top w:val="none" w:sz="0" w:space="0" w:color="auto"/>
            <w:left w:val="none" w:sz="0" w:space="0" w:color="auto"/>
            <w:bottom w:val="none" w:sz="0" w:space="0" w:color="auto"/>
            <w:right w:val="none" w:sz="0" w:space="0" w:color="auto"/>
          </w:divBdr>
        </w:div>
        <w:div w:id="488449262">
          <w:marLeft w:val="547"/>
          <w:marRight w:val="0"/>
          <w:marTop w:val="0"/>
          <w:marBottom w:val="0"/>
          <w:divBdr>
            <w:top w:val="none" w:sz="0" w:space="0" w:color="auto"/>
            <w:left w:val="none" w:sz="0" w:space="0" w:color="auto"/>
            <w:bottom w:val="none" w:sz="0" w:space="0" w:color="auto"/>
            <w:right w:val="none" w:sz="0" w:space="0" w:color="auto"/>
          </w:divBdr>
        </w:div>
        <w:div w:id="579801698">
          <w:marLeft w:val="547"/>
          <w:marRight w:val="0"/>
          <w:marTop w:val="0"/>
          <w:marBottom w:val="0"/>
          <w:divBdr>
            <w:top w:val="none" w:sz="0" w:space="0" w:color="auto"/>
            <w:left w:val="none" w:sz="0" w:space="0" w:color="auto"/>
            <w:bottom w:val="none" w:sz="0" w:space="0" w:color="auto"/>
            <w:right w:val="none" w:sz="0" w:space="0" w:color="auto"/>
          </w:divBdr>
        </w:div>
        <w:div w:id="464859853">
          <w:marLeft w:val="547"/>
          <w:marRight w:val="0"/>
          <w:marTop w:val="0"/>
          <w:marBottom w:val="0"/>
          <w:divBdr>
            <w:top w:val="none" w:sz="0" w:space="0" w:color="auto"/>
            <w:left w:val="none" w:sz="0" w:space="0" w:color="auto"/>
            <w:bottom w:val="none" w:sz="0" w:space="0" w:color="auto"/>
            <w:right w:val="none" w:sz="0" w:space="0" w:color="auto"/>
          </w:divBdr>
        </w:div>
        <w:div w:id="749934121">
          <w:marLeft w:val="547"/>
          <w:marRight w:val="0"/>
          <w:marTop w:val="0"/>
          <w:marBottom w:val="0"/>
          <w:divBdr>
            <w:top w:val="none" w:sz="0" w:space="0" w:color="auto"/>
            <w:left w:val="none" w:sz="0" w:space="0" w:color="auto"/>
            <w:bottom w:val="none" w:sz="0" w:space="0" w:color="auto"/>
            <w:right w:val="none" w:sz="0" w:space="0" w:color="auto"/>
          </w:divBdr>
        </w:div>
        <w:div w:id="1737582859">
          <w:marLeft w:val="547"/>
          <w:marRight w:val="0"/>
          <w:marTop w:val="0"/>
          <w:marBottom w:val="0"/>
          <w:divBdr>
            <w:top w:val="none" w:sz="0" w:space="0" w:color="auto"/>
            <w:left w:val="none" w:sz="0" w:space="0" w:color="auto"/>
            <w:bottom w:val="none" w:sz="0" w:space="0" w:color="auto"/>
            <w:right w:val="none" w:sz="0" w:space="0" w:color="auto"/>
          </w:divBdr>
        </w:div>
        <w:div w:id="323822718">
          <w:marLeft w:val="547"/>
          <w:marRight w:val="0"/>
          <w:marTop w:val="0"/>
          <w:marBottom w:val="0"/>
          <w:divBdr>
            <w:top w:val="none" w:sz="0" w:space="0" w:color="auto"/>
            <w:left w:val="none" w:sz="0" w:space="0" w:color="auto"/>
            <w:bottom w:val="none" w:sz="0" w:space="0" w:color="auto"/>
            <w:right w:val="none" w:sz="0" w:space="0" w:color="auto"/>
          </w:divBdr>
        </w:div>
        <w:div w:id="827404793">
          <w:marLeft w:val="547"/>
          <w:marRight w:val="0"/>
          <w:marTop w:val="0"/>
          <w:marBottom w:val="0"/>
          <w:divBdr>
            <w:top w:val="none" w:sz="0" w:space="0" w:color="auto"/>
            <w:left w:val="none" w:sz="0" w:space="0" w:color="auto"/>
            <w:bottom w:val="none" w:sz="0" w:space="0" w:color="auto"/>
            <w:right w:val="none" w:sz="0" w:space="0" w:color="auto"/>
          </w:divBdr>
        </w:div>
        <w:div w:id="1342782823">
          <w:marLeft w:val="547"/>
          <w:marRight w:val="0"/>
          <w:marTop w:val="0"/>
          <w:marBottom w:val="0"/>
          <w:divBdr>
            <w:top w:val="none" w:sz="0" w:space="0" w:color="auto"/>
            <w:left w:val="none" w:sz="0" w:space="0" w:color="auto"/>
            <w:bottom w:val="none" w:sz="0" w:space="0" w:color="auto"/>
            <w:right w:val="none" w:sz="0" w:space="0" w:color="auto"/>
          </w:divBdr>
        </w:div>
        <w:div w:id="616721060">
          <w:marLeft w:val="547"/>
          <w:marRight w:val="0"/>
          <w:marTop w:val="0"/>
          <w:marBottom w:val="0"/>
          <w:divBdr>
            <w:top w:val="none" w:sz="0" w:space="0" w:color="auto"/>
            <w:left w:val="none" w:sz="0" w:space="0" w:color="auto"/>
            <w:bottom w:val="none" w:sz="0" w:space="0" w:color="auto"/>
            <w:right w:val="none" w:sz="0" w:space="0" w:color="auto"/>
          </w:divBdr>
        </w:div>
        <w:div w:id="2106224970">
          <w:marLeft w:val="547"/>
          <w:marRight w:val="0"/>
          <w:marTop w:val="0"/>
          <w:marBottom w:val="0"/>
          <w:divBdr>
            <w:top w:val="none" w:sz="0" w:space="0" w:color="auto"/>
            <w:left w:val="none" w:sz="0" w:space="0" w:color="auto"/>
            <w:bottom w:val="none" w:sz="0" w:space="0" w:color="auto"/>
            <w:right w:val="none" w:sz="0" w:space="0" w:color="auto"/>
          </w:divBdr>
        </w:div>
        <w:div w:id="1638408826">
          <w:marLeft w:val="547"/>
          <w:marRight w:val="0"/>
          <w:marTop w:val="0"/>
          <w:marBottom w:val="0"/>
          <w:divBdr>
            <w:top w:val="none" w:sz="0" w:space="0" w:color="auto"/>
            <w:left w:val="none" w:sz="0" w:space="0" w:color="auto"/>
            <w:bottom w:val="none" w:sz="0" w:space="0" w:color="auto"/>
            <w:right w:val="none" w:sz="0" w:space="0" w:color="auto"/>
          </w:divBdr>
        </w:div>
        <w:div w:id="717238535">
          <w:marLeft w:val="547"/>
          <w:marRight w:val="0"/>
          <w:marTop w:val="0"/>
          <w:marBottom w:val="0"/>
          <w:divBdr>
            <w:top w:val="none" w:sz="0" w:space="0" w:color="auto"/>
            <w:left w:val="none" w:sz="0" w:space="0" w:color="auto"/>
            <w:bottom w:val="none" w:sz="0" w:space="0" w:color="auto"/>
            <w:right w:val="none" w:sz="0" w:space="0" w:color="auto"/>
          </w:divBdr>
        </w:div>
        <w:div w:id="574780275">
          <w:marLeft w:val="547"/>
          <w:marRight w:val="0"/>
          <w:marTop w:val="0"/>
          <w:marBottom w:val="0"/>
          <w:divBdr>
            <w:top w:val="none" w:sz="0" w:space="0" w:color="auto"/>
            <w:left w:val="none" w:sz="0" w:space="0" w:color="auto"/>
            <w:bottom w:val="none" w:sz="0" w:space="0" w:color="auto"/>
            <w:right w:val="none" w:sz="0" w:space="0" w:color="auto"/>
          </w:divBdr>
        </w:div>
      </w:divsChild>
    </w:div>
    <w:div w:id="4968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rieniph.ucalgary.ca/research/research-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ieniph.ucalgary.ca/" TargetMode="External"/><Relationship Id="rId5" Type="http://schemas.openxmlformats.org/officeDocument/2006/relationships/hyperlink" Target="https://obrieniph.ucalgary.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William Kirkby</dc:creator>
  <cp:keywords/>
  <dc:description/>
  <cp:lastModifiedBy>Jamie Day</cp:lastModifiedBy>
  <cp:revision>8</cp:revision>
  <dcterms:created xsi:type="dcterms:W3CDTF">2024-11-19T21:12:00Z</dcterms:created>
  <dcterms:modified xsi:type="dcterms:W3CDTF">2024-11-19T21:44:00Z</dcterms:modified>
</cp:coreProperties>
</file>